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35F0" w14:textId="1AADA7F2" w:rsidR="002D4597" w:rsidRDefault="002D4597" w:rsidP="002D4597">
      <w:pPr>
        <w:jc w:val="both"/>
        <w:rPr>
          <w:rFonts w:asciiTheme="minorHAnsi" w:hAnsiTheme="minorHAnsi" w:cstheme="minorHAnsi"/>
          <w:b/>
          <w:bCs/>
          <w:i/>
          <w:iCs/>
        </w:rPr>
      </w:pPr>
      <w:r w:rsidRPr="00930FD8">
        <w:rPr>
          <w:rFonts w:asciiTheme="minorHAnsi" w:hAnsiTheme="minorHAnsi" w:cstheme="minorHAnsi"/>
          <w:b/>
          <w:bCs/>
          <w:i/>
          <w:iCs/>
        </w:rPr>
        <w:t xml:space="preserve">First Do No Harm: What </w:t>
      </w:r>
      <w:r w:rsidR="002F33EB">
        <w:rPr>
          <w:rFonts w:asciiTheme="minorHAnsi" w:hAnsiTheme="minorHAnsi" w:cstheme="minorHAnsi"/>
          <w:b/>
          <w:bCs/>
          <w:i/>
          <w:iCs/>
        </w:rPr>
        <w:t>the British experience of</w:t>
      </w:r>
      <w:r w:rsidRPr="00930FD8">
        <w:rPr>
          <w:rFonts w:asciiTheme="minorHAnsi" w:hAnsiTheme="minorHAnsi" w:cstheme="minorHAnsi"/>
          <w:b/>
          <w:bCs/>
          <w:i/>
          <w:iCs/>
        </w:rPr>
        <w:t xml:space="preserve"> preventing violent extremism in domestic contexts</w:t>
      </w:r>
      <w:r w:rsidR="002F33EB">
        <w:rPr>
          <w:rFonts w:asciiTheme="minorHAnsi" w:hAnsiTheme="minorHAnsi" w:cstheme="minorHAnsi"/>
          <w:b/>
          <w:bCs/>
          <w:i/>
          <w:iCs/>
        </w:rPr>
        <w:t xml:space="preserve"> can teach America</w:t>
      </w:r>
    </w:p>
    <w:p w14:paraId="43A1072C" w14:textId="56011240" w:rsidR="004073FD" w:rsidRPr="00930FD8" w:rsidRDefault="004073FD">
      <w:pPr>
        <w:rPr>
          <w:rFonts w:asciiTheme="minorHAnsi" w:hAnsiTheme="minorHAnsi" w:cstheme="minorHAnsi"/>
        </w:rPr>
      </w:pPr>
    </w:p>
    <w:p w14:paraId="0226086E" w14:textId="60E35614" w:rsidR="003E4BBA" w:rsidRPr="00930FD8" w:rsidRDefault="003E4BBA">
      <w:pPr>
        <w:rPr>
          <w:rFonts w:asciiTheme="minorHAnsi" w:hAnsiTheme="minorHAnsi" w:cstheme="minorHAnsi"/>
        </w:rPr>
      </w:pPr>
      <w:r w:rsidRPr="00930FD8">
        <w:rPr>
          <w:rFonts w:asciiTheme="minorHAnsi" w:hAnsiTheme="minorHAnsi" w:cstheme="minorHAnsi"/>
        </w:rPr>
        <w:t>By Tom Parker</w:t>
      </w:r>
      <w:r w:rsidR="00233CBD" w:rsidRPr="00930FD8">
        <w:rPr>
          <w:rStyle w:val="FootnoteReference"/>
          <w:rFonts w:asciiTheme="minorHAnsi" w:hAnsiTheme="minorHAnsi" w:cstheme="minorHAnsi"/>
        </w:rPr>
        <w:footnoteReference w:id="1"/>
      </w:r>
    </w:p>
    <w:p w14:paraId="06254D7A" w14:textId="4B1798CA" w:rsidR="003E4BBA" w:rsidRDefault="003E4BBA">
      <w:pPr>
        <w:rPr>
          <w:rFonts w:asciiTheme="minorHAnsi" w:hAnsiTheme="minorHAnsi" w:cstheme="minorHAnsi"/>
        </w:rPr>
      </w:pPr>
    </w:p>
    <w:p w14:paraId="634D5F03" w14:textId="77777777" w:rsidR="000D53C5" w:rsidRPr="00930FD8" w:rsidRDefault="000D53C5">
      <w:pPr>
        <w:rPr>
          <w:rFonts w:asciiTheme="minorHAnsi" w:hAnsiTheme="minorHAnsi" w:cstheme="minorHAnsi"/>
        </w:rPr>
      </w:pPr>
    </w:p>
    <w:p w14:paraId="0A878637" w14:textId="41045321" w:rsidR="004073FD" w:rsidRPr="00101CD5" w:rsidRDefault="004073FD" w:rsidP="00D522C5">
      <w:pPr>
        <w:ind w:left="720" w:right="720"/>
        <w:jc w:val="both"/>
        <w:rPr>
          <w:rFonts w:asciiTheme="minorHAnsi" w:hAnsiTheme="minorHAnsi" w:cstheme="minorHAnsi"/>
          <w:sz w:val="22"/>
          <w:szCs w:val="22"/>
        </w:rPr>
      </w:pPr>
      <w:r w:rsidRPr="00101CD5">
        <w:rPr>
          <w:rFonts w:asciiTheme="minorHAnsi" w:hAnsiTheme="minorHAnsi" w:cstheme="minorHAnsi"/>
          <w:sz w:val="22"/>
          <w:szCs w:val="22"/>
        </w:rPr>
        <w:t>Extract:</w:t>
      </w:r>
      <w:r w:rsidR="00C74779" w:rsidRPr="00101CD5">
        <w:rPr>
          <w:rFonts w:asciiTheme="minorHAnsi" w:hAnsiTheme="minorHAnsi" w:cstheme="minorHAnsi"/>
          <w:sz w:val="22"/>
          <w:szCs w:val="22"/>
        </w:rPr>
        <w:t xml:space="preserve"> Pr</w:t>
      </w:r>
      <w:r w:rsidR="00A71159" w:rsidRPr="00101CD5">
        <w:rPr>
          <w:rFonts w:asciiTheme="minorHAnsi" w:hAnsiTheme="minorHAnsi" w:cstheme="minorHAnsi"/>
          <w:sz w:val="22"/>
          <w:szCs w:val="22"/>
        </w:rPr>
        <w:t>ogram</w:t>
      </w:r>
      <w:r w:rsidR="008B0CEE" w:rsidRPr="00101CD5">
        <w:rPr>
          <w:rFonts w:asciiTheme="minorHAnsi" w:hAnsiTheme="minorHAnsi" w:cstheme="minorHAnsi"/>
          <w:sz w:val="22"/>
          <w:szCs w:val="22"/>
        </w:rPr>
        <w:t xml:space="preserve">s </w:t>
      </w:r>
      <w:r w:rsidR="00A71159" w:rsidRPr="00101CD5">
        <w:rPr>
          <w:rFonts w:asciiTheme="minorHAnsi" w:hAnsiTheme="minorHAnsi" w:cstheme="minorHAnsi"/>
          <w:sz w:val="22"/>
          <w:szCs w:val="22"/>
        </w:rPr>
        <w:t>to prevent v</w:t>
      </w:r>
      <w:r w:rsidR="00C74779" w:rsidRPr="00101CD5">
        <w:rPr>
          <w:rFonts w:asciiTheme="minorHAnsi" w:hAnsiTheme="minorHAnsi" w:cstheme="minorHAnsi"/>
          <w:sz w:val="22"/>
          <w:szCs w:val="22"/>
        </w:rPr>
        <w:t xml:space="preserve">iolent </w:t>
      </w:r>
      <w:r w:rsidR="00A71159" w:rsidRPr="00101CD5">
        <w:rPr>
          <w:rFonts w:asciiTheme="minorHAnsi" w:hAnsiTheme="minorHAnsi" w:cstheme="minorHAnsi"/>
          <w:sz w:val="22"/>
          <w:szCs w:val="22"/>
        </w:rPr>
        <w:t>e</w:t>
      </w:r>
      <w:r w:rsidR="00C74779" w:rsidRPr="00101CD5">
        <w:rPr>
          <w:rFonts w:asciiTheme="minorHAnsi" w:hAnsiTheme="minorHAnsi" w:cstheme="minorHAnsi"/>
          <w:sz w:val="22"/>
          <w:szCs w:val="22"/>
        </w:rPr>
        <w:t xml:space="preserve">xtremism </w:t>
      </w:r>
      <w:r w:rsidR="008B0CEE" w:rsidRPr="00101CD5">
        <w:rPr>
          <w:rFonts w:asciiTheme="minorHAnsi" w:hAnsiTheme="minorHAnsi" w:cstheme="minorHAnsi"/>
          <w:sz w:val="22"/>
          <w:szCs w:val="22"/>
        </w:rPr>
        <w:t xml:space="preserve">are </w:t>
      </w:r>
      <w:r w:rsidR="00A71159" w:rsidRPr="00101CD5">
        <w:rPr>
          <w:rFonts w:asciiTheme="minorHAnsi" w:hAnsiTheme="minorHAnsi" w:cstheme="minorHAnsi"/>
          <w:sz w:val="22"/>
          <w:szCs w:val="22"/>
        </w:rPr>
        <w:t xml:space="preserve">a relatively </w:t>
      </w:r>
      <w:r w:rsidR="00C74779" w:rsidRPr="00101CD5">
        <w:rPr>
          <w:rFonts w:asciiTheme="minorHAnsi" w:hAnsiTheme="minorHAnsi" w:cstheme="minorHAnsi"/>
          <w:sz w:val="22"/>
          <w:szCs w:val="22"/>
        </w:rPr>
        <w:t xml:space="preserve">new </w:t>
      </w:r>
      <w:r w:rsidR="00A71159" w:rsidRPr="00101CD5">
        <w:rPr>
          <w:rFonts w:asciiTheme="minorHAnsi" w:hAnsiTheme="minorHAnsi" w:cstheme="minorHAnsi"/>
          <w:sz w:val="22"/>
          <w:szCs w:val="22"/>
        </w:rPr>
        <w:t>addition</w:t>
      </w:r>
      <w:r w:rsidR="00C74779" w:rsidRPr="00101CD5">
        <w:rPr>
          <w:rFonts w:asciiTheme="minorHAnsi" w:hAnsiTheme="minorHAnsi" w:cstheme="minorHAnsi"/>
          <w:sz w:val="22"/>
          <w:szCs w:val="22"/>
        </w:rPr>
        <w:t xml:space="preserve"> </w:t>
      </w:r>
      <w:r w:rsidR="00A71159" w:rsidRPr="00101CD5">
        <w:rPr>
          <w:rFonts w:asciiTheme="minorHAnsi" w:hAnsiTheme="minorHAnsi" w:cstheme="minorHAnsi"/>
          <w:sz w:val="22"/>
          <w:szCs w:val="22"/>
        </w:rPr>
        <w:t>to</w:t>
      </w:r>
      <w:r w:rsidR="00C74779" w:rsidRPr="00101CD5">
        <w:rPr>
          <w:rFonts w:asciiTheme="minorHAnsi" w:hAnsiTheme="minorHAnsi" w:cstheme="minorHAnsi"/>
          <w:sz w:val="22"/>
          <w:szCs w:val="22"/>
        </w:rPr>
        <w:t xml:space="preserve"> the counter-terrorism </w:t>
      </w:r>
      <w:r w:rsidR="00A71159" w:rsidRPr="00101CD5">
        <w:rPr>
          <w:rFonts w:asciiTheme="minorHAnsi" w:hAnsiTheme="minorHAnsi" w:cstheme="minorHAnsi"/>
          <w:sz w:val="22"/>
          <w:szCs w:val="22"/>
        </w:rPr>
        <w:t>toolbox</w:t>
      </w:r>
      <w:r w:rsidR="008B0CEE" w:rsidRPr="00101CD5">
        <w:rPr>
          <w:rFonts w:asciiTheme="minorHAnsi" w:hAnsiTheme="minorHAnsi" w:cstheme="minorHAnsi"/>
          <w:sz w:val="22"/>
          <w:szCs w:val="22"/>
        </w:rPr>
        <w:t>, and have flourished in the post 9/11 era</w:t>
      </w:r>
      <w:r w:rsidR="00A71159" w:rsidRPr="00101CD5">
        <w:rPr>
          <w:rFonts w:asciiTheme="minorHAnsi" w:hAnsiTheme="minorHAnsi" w:cstheme="minorHAnsi"/>
          <w:sz w:val="22"/>
          <w:szCs w:val="22"/>
        </w:rPr>
        <w:t xml:space="preserve">. </w:t>
      </w:r>
      <w:r w:rsidR="008B0CEE" w:rsidRPr="00101CD5">
        <w:rPr>
          <w:rFonts w:asciiTheme="minorHAnsi" w:hAnsiTheme="minorHAnsi" w:cstheme="minorHAnsi"/>
          <w:sz w:val="22"/>
          <w:szCs w:val="22"/>
        </w:rPr>
        <w:t xml:space="preserve">These </w:t>
      </w:r>
      <w:r w:rsidR="005A6A8D" w:rsidRPr="00101CD5">
        <w:rPr>
          <w:rFonts w:asciiTheme="minorHAnsi" w:hAnsiTheme="minorHAnsi" w:cstheme="minorHAnsi"/>
          <w:sz w:val="22"/>
          <w:szCs w:val="22"/>
        </w:rPr>
        <w:t xml:space="preserve">rapidly proliferating </w:t>
      </w:r>
      <w:r w:rsidR="008B0CEE" w:rsidRPr="00101CD5">
        <w:rPr>
          <w:rFonts w:asciiTheme="minorHAnsi" w:hAnsiTheme="minorHAnsi" w:cstheme="minorHAnsi"/>
          <w:sz w:val="22"/>
          <w:szCs w:val="22"/>
        </w:rPr>
        <w:t>programs take many forms</w:t>
      </w:r>
      <w:r w:rsidR="005D3F03" w:rsidRPr="00101CD5">
        <w:rPr>
          <w:rFonts w:asciiTheme="minorHAnsi" w:hAnsiTheme="minorHAnsi" w:cstheme="minorHAnsi"/>
          <w:sz w:val="22"/>
          <w:szCs w:val="22"/>
        </w:rPr>
        <w:t xml:space="preserve">, but </w:t>
      </w:r>
      <w:r w:rsidR="004A75A3" w:rsidRPr="00101CD5">
        <w:rPr>
          <w:rFonts w:asciiTheme="minorHAnsi" w:hAnsiTheme="minorHAnsi" w:cstheme="minorHAnsi"/>
          <w:sz w:val="22"/>
          <w:szCs w:val="22"/>
        </w:rPr>
        <w:t xml:space="preserve">despite their current ubiquity </w:t>
      </w:r>
      <w:r w:rsidR="005D3F03" w:rsidRPr="00101CD5">
        <w:rPr>
          <w:rFonts w:asciiTheme="minorHAnsi" w:hAnsiTheme="minorHAnsi" w:cstheme="minorHAnsi"/>
          <w:sz w:val="22"/>
          <w:szCs w:val="22"/>
        </w:rPr>
        <w:t xml:space="preserve">we still </w:t>
      </w:r>
      <w:r w:rsidR="005A6A8D" w:rsidRPr="00101CD5">
        <w:rPr>
          <w:rFonts w:asciiTheme="minorHAnsi" w:hAnsiTheme="minorHAnsi" w:cstheme="minorHAnsi"/>
          <w:sz w:val="22"/>
          <w:szCs w:val="22"/>
        </w:rPr>
        <w:t xml:space="preserve">actually </w:t>
      </w:r>
      <w:r w:rsidR="005D3F03" w:rsidRPr="00101CD5">
        <w:rPr>
          <w:rFonts w:asciiTheme="minorHAnsi" w:hAnsiTheme="minorHAnsi" w:cstheme="minorHAnsi"/>
          <w:sz w:val="22"/>
          <w:szCs w:val="22"/>
        </w:rPr>
        <w:t>know very little about which programs work best</w:t>
      </w:r>
      <w:r w:rsidR="005A6A8D" w:rsidRPr="00101CD5">
        <w:rPr>
          <w:rFonts w:asciiTheme="minorHAnsi" w:hAnsiTheme="minorHAnsi" w:cstheme="minorHAnsi"/>
          <w:sz w:val="22"/>
          <w:szCs w:val="22"/>
        </w:rPr>
        <w:t xml:space="preserve">, </w:t>
      </w:r>
      <w:r w:rsidR="00160CD9" w:rsidRPr="00101CD5">
        <w:rPr>
          <w:rFonts w:asciiTheme="minorHAnsi" w:hAnsiTheme="minorHAnsi" w:cstheme="minorHAnsi"/>
          <w:sz w:val="22"/>
          <w:szCs w:val="22"/>
        </w:rPr>
        <w:t xml:space="preserve">and </w:t>
      </w:r>
      <w:r w:rsidR="004A75A3" w:rsidRPr="00101CD5">
        <w:rPr>
          <w:rFonts w:asciiTheme="minorHAnsi" w:hAnsiTheme="minorHAnsi" w:cstheme="minorHAnsi"/>
          <w:sz w:val="22"/>
          <w:szCs w:val="22"/>
        </w:rPr>
        <w:t>still less a</w:t>
      </w:r>
      <w:r w:rsidR="00160CD9" w:rsidRPr="00101CD5">
        <w:rPr>
          <w:rFonts w:asciiTheme="minorHAnsi" w:hAnsiTheme="minorHAnsi" w:cstheme="minorHAnsi"/>
          <w:sz w:val="22"/>
          <w:szCs w:val="22"/>
        </w:rPr>
        <w:t xml:space="preserve">bout </w:t>
      </w:r>
      <w:r w:rsidR="005A6A8D" w:rsidRPr="00101CD5">
        <w:rPr>
          <w:rFonts w:asciiTheme="minorHAnsi" w:hAnsiTheme="minorHAnsi" w:cstheme="minorHAnsi"/>
          <w:sz w:val="22"/>
          <w:szCs w:val="22"/>
        </w:rPr>
        <w:t xml:space="preserve">the wider impact that they have on the ‘at-risk’ communities they </w:t>
      </w:r>
      <w:r w:rsidR="00160CD9" w:rsidRPr="00101CD5">
        <w:rPr>
          <w:rFonts w:asciiTheme="minorHAnsi" w:hAnsiTheme="minorHAnsi" w:cstheme="minorHAnsi"/>
          <w:sz w:val="22"/>
          <w:szCs w:val="22"/>
        </w:rPr>
        <w:t>seek to help</w:t>
      </w:r>
      <w:r w:rsidR="005D3F03" w:rsidRPr="00101CD5">
        <w:rPr>
          <w:rFonts w:asciiTheme="minorHAnsi" w:hAnsiTheme="minorHAnsi" w:cstheme="minorHAnsi"/>
          <w:sz w:val="22"/>
          <w:szCs w:val="22"/>
        </w:rPr>
        <w:t>.</w:t>
      </w:r>
      <w:r w:rsidR="0027422C" w:rsidRPr="00101CD5">
        <w:rPr>
          <w:rFonts w:asciiTheme="minorHAnsi" w:hAnsiTheme="minorHAnsi" w:cstheme="minorHAnsi"/>
          <w:sz w:val="22"/>
          <w:szCs w:val="22"/>
        </w:rPr>
        <w:t xml:space="preserve"> Part of the problem is the idiosyncratic complexity of the drivers of </w:t>
      </w:r>
      <w:r w:rsidR="00160CD9" w:rsidRPr="00101CD5">
        <w:rPr>
          <w:rFonts w:asciiTheme="minorHAnsi" w:hAnsiTheme="minorHAnsi" w:cstheme="minorHAnsi"/>
          <w:sz w:val="22"/>
          <w:szCs w:val="22"/>
        </w:rPr>
        <w:t>violent extremism</w:t>
      </w:r>
      <w:r w:rsidR="0027422C" w:rsidRPr="00101CD5">
        <w:rPr>
          <w:rFonts w:asciiTheme="minorHAnsi" w:hAnsiTheme="minorHAnsi" w:cstheme="minorHAnsi"/>
          <w:sz w:val="22"/>
          <w:szCs w:val="22"/>
        </w:rPr>
        <w:t xml:space="preserve">, </w:t>
      </w:r>
      <w:r w:rsidR="00B73D61" w:rsidRPr="00101CD5">
        <w:rPr>
          <w:rFonts w:asciiTheme="minorHAnsi" w:hAnsiTheme="minorHAnsi" w:cstheme="minorHAnsi"/>
          <w:sz w:val="22"/>
          <w:szCs w:val="22"/>
        </w:rPr>
        <w:t>and the unique character of each referral. A</w:t>
      </w:r>
      <w:r w:rsidR="0027422C" w:rsidRPr="00101CD5">
        <w:rPr>
          <w:rFonts w:asciiTheme="minorHAnsi" w:hAnsiTheme="minorHAnsi" w:cstheme="minorHAnsi"/>
          <w:sz w:val="22"/>
          <w:szCs w:val="22"/>
        </w:rPr>
        <w:t xml:space="preserve">nother </w:t>
      </w:r>
      <w:r w:rsidR="00D40B2C" w:rsidRPr="00101CD5">
        <w:rPr>
          <w:rFonts w:asciiTheme="minorHAnsi" w:hAnsiTheme="minorHAnsi" w:cstheme="minorHAnsi"/>
          <w:sz w:val="22"/>
          <w:szCs w:val="22"/>
        </w:rPr>
        <w:t xml:space="preserve">element </w:t>
      </w:r>
      <w:r w:rsidR="0027422C" w:rsidRPr="00101CD5">
        <w:rPr>
          <w:rFonts w:asciiTheme="minorHAnsi" w:hAnsiTheme="minorHAnsi" w:cstheme="minorHAnsi"/>
          <w:sz w:val="22"/>
          <w:szCs w:val="22"/>
        </w:rPr>
        <w:t xml:space="preserve">is </w:t>
      </w:r>
      <w:r w:rsidR="00D40B2C" w:rsidRPr="00101CD5">
        <w:rPr>
          <w:rFonts w:asciiTheme="minorHAnsi" w:hAnsiTheme="minorHAnsi" w:cstheme="minorHAnsi"/>
          <w:sz w:val="22"/>
          <w:szCs w:val="22"/>
        </w:rPr>
        <w:t xml:space="preserve">the difficulty </w:t>
      </w:r>
      <w:r w:rsidR="004A75A3" w:rsidRPr="00101CD5">
        <w:rPr>
          <w:rFonts w:asciiTheme="minorHAnsi" w:hAnsiTheme="minorHAnsi" w:cstheme="minorHAnsi"/>
          <w:sz w:val="22"/>
          <w:szCs w:val="22"/>
        </w:rPr>
        <w:t>distinguishing proximity from causation</w:t>
      </w:r>
      <w:r w:rsidR="00B73D61" w:rsidRPr="00101CD5">
        <w:rPr>
          <w:rFonts w:asciiTheme="minorHAnsi" w:hAnsiTheme="minorHAnsi" w:cstheme="minorHAnsi"/>
          <w:sz w:val="22"/>
          <w:szCs w:val="22"/>
        </w:rPr>
        <w:t>,</w:t>
      </w:r>
      <w:r w:rsidR="004A75A3" w:rsidRPr="00101CD5">
        <w:rPr>
          <w:rFonts w:asciiTheme="minorHAnsi" w:hAnsiTheme="minorHAnsi" w:cstheme="minorHAnsi"/>
          <w:sz w:val="22"/>
          <w:szCs w:val="22"/>
        </w:rPr>
        <w:t xml:space="preserve"> which is </w:t>
      </w:r>
      <w:r w:rsidR="00B73D61" w:rsidRPr="00101CD5">
        <w:rPr>
          <w:rFonts w:asciiTheme="minorHAnsi" w:hAnsiTheme="minorHAnsi" w:cstheme="minorHAnsi"/>
          <w:sz w:val="22"/>
          <w:szCs w:val="22"/>
        </w:rPr>
        <w:t>exacerbated</w:t>
      </w:r>
      <w:r w:rsidR="004A75A3" w:rsidRPr="00101CD5">
        <w:rPr>
          <w:rFonts w:asciiTheme="minorHAnsi" w:hAnsiTheme="minorHAnsi" w:cstheme="minorHAnsi"/>
          <w:sz w:val="22"/>
          <w:szCs w:val="22"/>
        </w:rPr>
        <w:t xml:space="preserve"> </w:t>
      </w:r>
      <w:r w:rsidR="00B73D61" w:rsidRPr="00101CD5">
        <w:rPr>
          <w:rFonts w:asciiTheme="minorHAnsi" w:hAnsiTheme="minorHAnsi" w:cstheme="minorHAnsi"/>
          <w:sz w:val="22"/>
          <w:szCs w:val="22"/>
        </w:rPr>
        <w:t xml:space="preserve">by </w:t>
      </w:r>
      <w:r w:rsidR="0027422C" w:rsidRPr="00101CD5">
        <w:rPr>
          <w:rFonts w:asciiTheme="minorHAnsi" w:hAnsiTheme="minorHAnsi" w:cstheme="minorHAnsi"/>
          <w:sz w:val="22"/>
          <w:szCs w:val="22"/>
        </w:rPr>
        <w:t xml:space="preserve">the </w:t>
      </w:r>
      <w:r w:rsidR="00E311C0" w:rsidRPr="00101CD5">
        <w:rPr>
          <w:rFonts w:asciiTheme="minorHAnsi" w:hAnsiTheme="minorHAnsi" w:cstheme="minorHAnsi"/>
          <w:sz w:val="22"/>
          <w:szCs w:val="22"/>
        </w:rPr>
        <w:t>challenge of</w:t>
      </w:r>
      <w:r w:rsidR="0027422C" w:rsidRPr="00101CD5">
        <w:rPr>
          <w:rFonts w:asciiTheme="minorHAnsi" w:hAnsiTheme="minorHAnsi" w:cstheme="minorHAnsi"/>
          <w:sz w:val="22"/>
          <w:szCs w:val="22"/>
        </w:rPr>
        <w:t xml:space="preserve"> quantifying what doesn’t happen</w:t>
      </w:r>
      <w:r w:rsidR="00B0198F" w:rsidRPr="00101CD5">
        <w:rPr>
          <w:rFonts w:asciiTheme="minorHAnsi" w:hAnsiTheme="minorHAnsi" w:cstheme="minorHAnsi"/>
          <w:sz w:val="22"/>
          <w:szCs w:val="22"/>
        </w:rPr>
        <w:t xml:space="preserve"> and </w:t>
      </w:r>
      <w:r w:rsidR="00B73D61" w:rsidRPr="00101CD5">
        <w:rPr>
          <w:rFonts w:asciiTheme="minorHAnsi" w:hAnsiTheme="minorHAnsi" w:cstheme="minorHAnsi"/>
          <w:sz w:val="22"/>
          <w:szCs w:val="22"/>
        </w:rPr>
        <w:t>understand</w:t>
      </w:r>
      <w:r w:rsidR="00B0198F" w:rsidRPr="00101CD5">
        <w:rPr>
          <w:rFonts w:asciiTheme="minorHAnsi" w:hAnsiTheme="minorHAnsi" w:cstheme="minorHAnsi"/>
          <w:sz w:val="22"/>
          <w:szCs w:val="22"/>
        </w:rPr>
        <w:t>ing why it d</w:t>
      </w:r>
      <w:r w:rsidR="00B73D61" w:rsidRPr="00101CD5">
        <w:rPr>
          <w:rFonts w:asciiTheme="minorHAnsi" w:hAnsiTheme="minorHAnsi" w:cstheme="minorHAnsi"/>
          <w:sz w:val="22"/>
          <w:szCs w:val="22"/>
        </w:rPr>
        <w:t>id</w:t>
      </w:r>
      <w:r w:rsidR="00B0198F" w:rsidRPr="00101CD5">
        <w:rPr>
          <w:rFonts w:asciiTheme="minorHAnsi" w:hAnsiTheme="minorHAnsi" w:cstheme="minorHAnsi"/>
          <w:sz w:val="22"/>
          <w:szCs w:val="22"/>
        </w:rPr>
        <w:t>n’t</w:t>
      </w:r>
      <w:r w:rsidR="0027422C" w:rsidRPr="00101CD5">
        <w:rPr>
          <w:rFonts w:asciiTheme="minorHAnsi" w:hAnsiTheme="minorHAnsi" w:cstheme="minorHAnsi"/>
          <w:sz w:val="22"/>
          <w:szCs w:val="22"/>
        </w:rPr>
        <w:t xml:space="preserve">. Finally, there </w:t>
      </w:r>
      <w:r w:rsidR="00160CD9" w:rsidRPr="00101CD5">
        <w:rPr>
          <w:rFonts w:asciiTheme="minorHAnsi" w:hAnsiTheme="minorHAnsi" w:cstheme="minorHAnsi"/>
          <w:sz w:val="22"/>
          <w:szCs w:val="22"/>
        </w:rPr>
        <w:t>appears to be an</w:t>
      </w:r>
      <w:r w:rsidR="0027422C" w:rsidRPr="00101CD5">
        <w:rPr>
          <w:rFonts w:asciiTheme="minorHAnsi" w:hAnsiTheme="minorHAnsi" w:cstheme="minorHAnsi"/>
          <w:sz w:val="22"/>
          <w:szCs w:val="22"/>
        </w:rPr>
        <w:t xml:space="preserve"> underlying </w:t>
      </w:r>
      <w:r w:rsidR="00160CD9" w:rsidRPr="00101CD5">
        <w:rPr>
          <w:rFonts w:asciiTheme="minorHAnsi" w:hAnsiTheme="minorHAnsi" w:cstheme="minorHAnsi"/>
          <w:sz w:val="22"/>
          <w:szCs w:val="22"/>
        </w:rPr>
        <w:t xml:space="preserve">foundational </w:t>
      </w:r>
      <w:r w:rsidR="0027422C" w:rsidRPr="00101CD5">
        <w:rPr>
          <w:rFonts w:asciiTheme="minorHAnsi" w:hAnsiTheme="minorHAnsi" w:cstheme="minorHAnsi"/>
          <w:sz w:val="22"/>
          <w:szCs w:val="22"/>
        </w:rPr>
        <w:t xml:space="preserve">assumption </w:t>
      </w:r>
      <w:r w:rsidR="00160CD9" w:rsidRPr="00101CD5">
        <w:rPr>
          <w:rFonts w:asciiTheme="minorHAnsi" w:hAnsiTheme="minorHAnsi" w:cstheme="minorHAnsi"/>
          <w:sz w:val="22"/>
          <w:szCs w:val="22"/>
        </w:rPr>
        <w:t xml:space="preserve">in all PVE programming </w:t>
      </w:r>
      <w:r w:rsidR="0027422C" w:rsidRPr="00101CD5">
        <w:rPr>
          <w:rFonts w:asciiTheme="minorHAnsi" w:hAnsiTheme="minorHAnsi" w:cstheme="minorHAnsi"/>
          <w:sz w:val="22"/>
          <w:szCs w:val="22"/>
        </w:rPr>
        <w:t>that the problem at issue is entirely on one side</w:t>
      </w:r>
      <w:r w:rsidR="004A75A3" w:rsidRPr="00101CD5">
        <w:rPr>
          <w:rFonts w:asciiTheme="minorHAnsi" w:hAnsiTheme="minorHAnsi" w:cstheme="minorHAnsi"/>
          <w:sz w:val="22"/>
          <w:szCs w:val="22"/>
        </w:rPr>
        <w:t>,</w:t>
      </w:r>
      <w:r w:rsidR="0027422C" w:rsidRPr="00101CD5">
        <w:rPr>
          <w:rFonts w:asciiTheme="minorHAnsi" w:hAnsiTheme="minorHAnsi" w:cstheme="minorHAnsi"/>
          <w:sz w:val="22"/>
          <w:szCs w:val="22"/>
        </w:rPr>
        <w:t xml:space="preserve"> and that there might not be some logic to why individuals have turned to violence as a solution to their grievances</w:t>
      </w:r>
      <w:r w:rsidR="00B0198F" w:rsidRPr="00101CD5">
        <w:rPr>
          <w:rFonts w:asciiTheme="minorHAnsi" w:hAnsiTheme="minorHAnsi" w:cstheme="minorHAnsi"/>
          <w:sz w:val="22"/>
          <w:szCs w:val="22"/>
        </w:rPr>
        <w:t xml:space="preserve"> in the first place</w:t>
      </w:r>
      <w:r w:rsidR="0027422C" w:rsidRPr="00101CD5">
        <w:rPr>
          <w:rFonts w:asciiTheme="minorHAnsi" w:hAnsiTheme="minorHAnsi" w:cstheme="minorHAnsi"/>
          <w:sz w:val="22"/>
          <w:szCs w:val="22"/>
        </w:rPr>
        <w:t>.</w:t>
      </w:r>
      <w:r w:rsidR="00160CD9" w:rsidRPr="00101CD5">
        <w:rPr>
          <w:rFonts w:asciiTheme="minorHAnsi" w:hAnsiTheme="minorHAnsi" w:cstheme="minorHAnsi"/>
          <w:sz w:val="22"/>
          <w:szCs w:val="22"/>
        </w:rPr>
        <w:t xml:space="preserve"> </w:t>
      </w:r>
      <w:r w:rsidR="003D4153" w:rsidRPr="00101CD5">
        <w:rPr>
          <w:rFonts w:asciiTheme="minorHAnsi" w:hAnsiTheme="minorHAnsi" w:cstheme="minorHAnsi"/>
          <w:sz w:val="22"/>
          <w:szCs w:val="22"/>
        </w:rPr>
        <w:t xml:space="preserve">This </w:t>
      </w:r>
      <w:r w:rsidR="00394155" w:rsidRPr="00101CD5">
        <w:rPr>
          <w:rFonts w:asciiTheme="minorHAnsi" w:hAnsiTheme="minorHAnsi" w:cstheme="minorHAnsi"/>
          <w:sz w:val="22"/>
          <w:szCs w:val="22"/>
        </w:rPr>
        <w:t xml:space="preserve">often </w:t>
      </w:r>
      <w:r w:rsidR="003D4153" w:rsidRPr="00101CD5">
        <w:rPr>
          <w:rFonts w:asciiTheme="minorHAnsi" w:hAnsiTheme="minorHAnsi" w:cstheme="minorHAnsi"/>
          <w:sz w:val="22"/>
          <w:szCs w:val="22"/>
        </w:rPr>
        <w:t xml:space="preserve">leaves states in denial about structural drivers unpinning the violent extremist movements on their soil. </w:t>
      </w:r>
      <w:r w:rsidR="00160CD9" w:rsidRPr="00101CD5">
        <w:rPr>
          <w:rFonts w:asciiTheme="minorHAnsi" w:hAnsiTheme="minorHAnsi" w:cstheme="minorHAnsi"/>
          <w:sz w:val="22"/>
          <w:szCs w:val="22"/>
        </w:rPr>
        <w:t>When PVE programming is implemented without nuance</w:t>
      </w:r>
      <w:r w:rsidR="009D4CFD" w:rsidRPr="00101CD5">
        <w:rPr>
          <w:rFonts w:asciiTheme="minorHAnsi" w:hAnsiTheme="minorHAnsi" w:cstheme="minorHAnsi"/>
          <w:sz w:val="22"/>
          <w:szCs w:val="22"/>
        </w:rPr>
        <w:t xml:space="preserve"> and focused on a marginalized community</w:t>
      </w:r>
      <w:r w:rsidR="004A75A3" w:rsidRPr="00101CD5">
        <w:rPr>
          <w:rFonts w:asciiTheme="minorHAnsi" w:hAnsiTheme="minorHAnsi" w:cstheme="minorHAnsi"/>
          <w:sz w:val="22"/>
          <w:szCs w:val="22"/>
        </w:rPr>
        <w:t>,</w:t>
      </w:r>
      <w:r w:rsidR="00160CD9" w:rsidRPr="00101CD5">
        <w:rPr>
          <w:rFonts w:asciiTheme="minorHAnsi" w:hAnsiTheme="minorHAnsi" w:cstheme="minorHAnsi"/>
          <w:sz w:val="22"/>
          <w:szCs w:val="22"/>
        </w:rPr>
        <w:t xml:space="preserve"> </w:t>
      </w:r>
      <w:r w:rsidR="00190F77" w:rsidRPr="00101CD5">
        <w:rPr>
          <w:rFonts w:asciiTheme="minorHAnsi" w:hAnsiTheme="minorHAnsi" w:cstheme="minorHAnsi"/>
          <w:sz w:val="22"/>
          <w:szCs w:val="22"/>
        </w:rPr>
        <w:t xml:space="preserve">there is considerable potential that </w:t>
      </w:r>
      <w:r w:rsidR="00160CD9" w:rsidRPr="00101CD5">
        <w:rPr>
          <w:rFonts w:asciiTheme="minorHAnsi" w:hAnsiTheme="minorHAnsi" w:cstheme="minorHAnsi"/>
          <w:sz w:val="22"/>
          <w:szCs w:val="22"/>
        </w:rPr>
        <w:t xml:space="preserve">instead of </w:t>
      </w:r>
      <w:r w:rsidR="004A75A3" w:rsidRPr="00101CD5">
        <w:rPr>
          <w:rFonts w:asciiTheme="minorHAnsi" w:hAnsiTheme="minorHAnsi" w:cstheme="minorHAnsi"/>
          <w:sz w:val="22"/>
          <w:szCs w:val="22"/>
        </w:rPr>
        <w:t xml:space="preserve">being </w:t>
      </w:r>
      <w:r w:rsidR="00160CD9" w:rsidRPr="00101CD5">
        <w:rPr>
          <w:rFonts w:asciiTheme="minorHAnsi" w:hAnsiTheme="minorHAnsi" w:cstheme="minorHAnsi"/>
          <w:sz w:val="22"/>
          <w:szCs w:val="22"/>
        </w:rPr>
        <w:t xml:space="preserve">a palliative measure it can become, no matter how </w:t>
      </w:r>
      <w:r w:rsidR="00A240B4" w:rsidRPr="00101CD5">
        <w:rPr>
          <w:rFonts w:asciiTheme="minorHAnsi" w:hAnsiTheme="minorHAnsi" w:cstheme="minorHAnsi"/>
          <w:sz w:val="22"/>
          <w:szCs w:val="22"/>
        </w:rPr>
        <w:t>un</w:t>
      </w:r>
      <w:r w:rsidR="00160CD9" w:rsidRPr="00101CD5">
        <w:rPr>
          <w:rFonts w:asciiTheme="minorHAnsi" w:hAnsiTheme="minorHAnsi" w:cstheme="minorHAnsi"/>
          <w:sz w:val="22"/>
          <w:szCs w:val="22"/>
        </w:rPr>
        <w:t>intentionally, itself a driver of future conflict.</w:t>
      </w:r>
      <w:r w:rsidR="00B73D61" w:rsidRPr="00101CD5">
        <w:rPr>
          <w:rFonts w:asciiTheme="minorHAnsi" w:hAnsiTheme="minorHAnsi" w:cstheme="minorHAnsi"/>
          <w:sz w:val="22"/>
          <w:szCs w:val="22"/>
        </w:rPr>
        <w:t xml:space="preserve"> The </w:t>
      </w:r>
      <w:r w:rsidR="009D4CFD" w:rsidRPr="00101CD5">
        <w:rPr>
          <w:rFonts w:asciiTheme="minorHAnsi" w:hAnsiTheme="minorHAnsi" w:cstheme="minorHAnsi"/>
          <w:sz w:val="22"/>
          <w:szCs w:val="22"/>
        </w:rPr>
        <w:t xml:space="preserve">key </w:t>
      </w:r>
      <w:r w:rsidR="00B73D61" w:rsidRPr="00101CD5">
        <w:rPr>
          <w:rFonts w:asciiTheme="minorHAnsi" w:hAnsiTheme="minorHAnsi" w:cstheme="minorHAnsi"/>
          <w:sz w:val="22"/>
          <w:szCs w:val="22"/>
        </w:rPr>
        <w:t xml:space="preserve">challenge </w:t>
      </w:r>
      <w:r w:rsidR="009A4A5F" w:rsidRPr="00101CD5">
        <w:rPr>
          <w:rFonts w:asciiTheme="minorHAnsi" w:hAnsiTheme="minorHAnsi" w:cstheme="minorHAnsi"/>
          <w:sz w:val="22"/>
          <w:szCs w:val="22"/>
        </w:rPr>
        <w:t>facing</w:t>
      </w:r>
      <w:r w:rsidR="00B73D61" w:rsidRPr="00101CD5">
        <w:rPr>
          <w:rFonts w:asciiTheme="minorHAnsi" w:hAnsiTheme="minorHAnsi" w:cstheme="minorHAnsi"/>
          <w:sz w:val="22"/>
          <w:szCs w:val="22"/>
        </w:rPr>
        <w:t xml:space="preserve"> the United States </w:t>
      </w:r>
      <w:r w:rsidR="009A4A5F" w:rsidRPr="00101CD5">
        <w:rPr>
          <w:rFonts w:asciiTheme="minorHAnsi" w:hAnsiTheme="minorHAnsi" w:cstheme="minorHAnsi"/>
          <w:sz w:val="22"/>
          <w:szCs w:val="22"/>
        </w:rPr>
        <w:t xml:space="preserve">as it confronts a new generation of </w:t>
      </w:r>
      <w:r w:rsidR="00D40B2C" w:rsidRPr="00101CD5">
        <w:rPr>
          <w:rFonts w:asciiTheme="minorHAnsi" w:hAnsiTheme="minorHAnsi" w:cstheme="minorHAnsi"/>
          <w:sz w:val="22"/>
          <w:szCs w:val="22"/>
        </w:rPr>
        <w:t>right-wing and ethnically motivated violent extremis</w:t>
      </w:r>
      <w:r w:rsidR="009A4A5F" w:rsidRPr="00101CD5">
        <w:rPr>
          <w:rFonts w:asciiTheme="minorHAnsi" w:hAnsiTheme="minorHAnsi" w:cstheme="minorHAnsi"/>
          <w:sz w:val="22"/>
          <w:szCs w:val="22"/>
        </w:rPr>
        <w:t>ts</w:t>
      </w:r>
      <w:r w:rsidR="00D40B2C" w:rsidRPr="00101CD5">
        <w:rPr>
          <w:rFonts w:asciiTheme="minorHAnsi" w:hAnsiTheme="minorHAnsi" w:cstheme="minorHAnsi"/>
          <w:sz w:val="22"/>
          <w:szCs w:val="22"/>
        </w:rPr>
        <w:t xml:space="preserve"> </w:t>
      </w:r>
      <w:r w:rsidR="009A4A5F" w:rsidRPr="00101CD5">
        <w:rPr>
          <w:rFonts w:asciiTheme="minorHAnsi" w:hAnsiTheme="minorHAnsi" w:cstheme="minorHAnsi"/>
          <w:sz w:val="22"/>
          <w:szCs w:val="22"/>
        </w:rPr>
        <w:t xml:space="preserve">will be </w:t>
      </w:r>
      <w:r w:rsidR="008312A5">
        <w:rPr>
          <w:rFonts w:asciiTheme="minorHAnsi" w:hAnsiTheme="minorHAnsi" w:cstheme="minorHAnsi"/>
          <w:sz w:val="22"/>
          <w:szCs w:val="22"/>
        </w:rPr>
        <w:t>to consider whether it is even possible to</w:t>
      </w:r>
      <w:r w:rsidR="009A4A5F" w:rsidRPr="00101CD5">
        <w:rPr>
          <w:rFonts w:asciiTheme="minorHAnsi" w:hAnsiTheme="minorHAnsi" w:cstheme="minorHAnsi"/>
          <w:sz w:val="22"/>
          <w:szCs w:val="22"/>
        </w:rPr>
        <w:t xml:space="preserve"> deploy these new tools </w:t>
      </w:r>
      <w:r w:rsidR="00B73D61" w:rsidRPr="00101CD5">
        <w:rPr>
          <w:rFonts w:asciiTheme="minorHAnsi" w:hAnsiTheme="minorHAnsi" w:cstheme="minorHAnsi"/>
          <w:sz w:val="22"/>
          <w:szCs w:val="22"/>
        </w:rPr>
        <w:t xml:space="preserve">in a manner that does not </w:t>
      </w:r>
      <w:r w:rsidR="00D40B2C" w:rsidRPr="00101CD5">
        <w:rPr>
          <w:rFonts w:asciiTheme="minorHAnsi" w:hAnsiTheme="minorHAnsi" w:cstheme="minorHAnsi"/>
          <w:sz w:val="22"/>
          <w:szCs w:val="22"/>
        </w:rPr>
        <w:t>add further fuel to the fire.</w:t>
      </w:r>
      <w:r w:rsidR="009A4A5F" w:rsidRPr="00101CD5">
        <w:rPr>
          <w:rFonts w:asciiTheme="minorHAnsi" w:hAnsiTheme="minorHAnsi" w:cstheme="minorHAnsi"/>
          <w:sz w:val="22"/>
          <w:szCs w:val="22"/>
        </w:rPr>
        <w:t xml:space="preserve"> </w:t>
      </w:r>
      <w:r w:rsidR="002C1F45" w:rsidRPr="00101CD5">
        <w:rPr>
          <w:rFonts w:asciiTheme="minorHAnsi" w:hAnsiTheme="minorHAnsi" w:cstheme="minorHAnsi"/>
          <w:sz w:val="22"/>
          <w:szCs w:val="22"/>
        </w:rPr>
        <w:t xml:space="preserve">Drawing heavily on the experience of the United Kingdom's Prevent </w:t>
      </w:r>
      <w:proofErr w:type="spellStart"/>
      <w:r w:rsidR="002C1F45" w:rsidRPr="00101CD5">
        <w:rPr>
          <w:rFonts w:asciiTheme="minorHAnsi" w:hAnsiTheme="minorHAnsi" w:cstheme="minorHAnsi"/>
          <w:sz w:val="22"/>
          <w:szCs w:val="22"/>
        </w:rPr>
        <w:t>programme</w:t>
      </w:r>
      <w:proofErr w:type="spellEnd"/>
      <w:r w:rsidR="002C1F45" w:rsidRPr="00101CD5">
        <w:rPr>
          <w:rFonts w:asciiTheme="minorHAnsi" w:hAnsiTheme="minorHAnsi" w:cstheme="minorHAnsi"/>
          <w:sz w:val="22"/>
          <w:szCs w:val="22"/>
        </w:rPr>
        <w:t xml:space="preserve">, this </w:t>
      </w:r>
      <w:r w:rsidR="009A4A5F" w:rsidRPr="00101CD5">
        <w:rPr>
          <w:rFonts w:asciiTheme="minorHAnsi" w:hAnsiTheme="minorHAnsi" w:cstheme="minorHAnsi"/>
          <w:sz w:val="22"/>
          <w:szCs w:val="22"/>
        </w:rPr>
        <w:t xml:space="preserve">article will seek to identify some of the missteps </w:t>
      </w:r>
      <w:r w:rsidR="002C1F45" w:rsidRPr="00101CD5">
        <w:rPr>
          <w:rFonts w:asciiTheme="minorHAnsi" w:hAnsiTheme="minorHAnsi" w:cstheme="minorHAnsi"/>
          <w:sz w:val="22"/>
          <w:szCs w:val="22"/>
        </w:rPr>
        <w:t>ma</w:t>
      </w:r>
      <w:r w:rsidR="004A1FC1" w:rsidRPr="00101CD5">
        <w:rPr>
          <w:rFonts w:asciiTheme="minorHAnsi" w:hAnsiTheme="minorHAnsi" w:cstheme="minorHAnsi"/>
          <w:sz w:val="22"/>
          <w:szCs w:val="22"/>
        </w:rPr>
        <w:t>d</w:t>
      </w:r>
      <w:r w:rsidR="002C1F45" w:rsidRPr="00101CD5">
        <w:rPr>
          <w:rFonts w:asciiTheme="minorHAnsi" w:hAnsiTheme="minorHAnsi" w:cstheme="minorHAnsi"/>
          <w:sz w:val="22"/>
          <w:szCs w:val="22"/>
        </w:rPr>
        <w:t>e by</w:t>
      </w:r>
      <w:r w:rsidR="009A4A5F" w:rsidRPr="00101CD5">
        <w:rPr>
          <w:rFonts w:asciiTheme="minorHAnsi" w:hAnsiTheme="minorHAnsi" w:cstheme="minorHAnsi"/>
          <w:sz w:val="22"/>
          <w:szCs w:val="22"/>
        </w:rPr>
        <w:t xml:space="preserve"> previous PVE campaigns</w:t>
      </w:r>
      <w:r w:rsidR="002C1F45" w:rsidRPr="00101CD5">
        <w:rPr>
          <w:rFonts w:asciiTheme="minorHAnsi" w:hAnsiTheme="minorHAnsi" w:cstheme="minorHAnsi"/>
          <w:sz w:val="22"/>
          <w:szCs w:val="22"/>
        </w:rPr>
        <w:t xml:space="preserve"> </w:t>
      </w:r>
      <w:r w:rsidR="009A4A5F" w:rsidRPr="00101CD5">
        <w:rPr>
          <w:rFonts w:asciiTheme="minorHAnsi" w:hAnsiTheme="minorHAnsi" w:cstheme="minorHAnsi"/>
          <w:sz w:val="22"/>
          <w:szCs w:val="22"/>
        </w:rPr>
        <w:t xml:space="preserve">that the US policymakers will need to avoid if they are to </w:t>
      </w:r>
      <w:r w:rsidR="00394155" w:rsidRPr="00101CD5">
        <w:rPr>
          <w:rFonts w:asciiTheme="minorHAnsi" w:hAnsiTheme="minorHAnsi" w:cstheme="minorHAnsi"/>
          <w:sz w:val="22"/>
          <w:szCs w:val="22"/>
        </w:rPr>
        <w:t xml:space="preserve">address </w:t>
      </w:r>
      <w:r w:rsidR="009A4A5F" w:rsidRPr="00101CD5">
        <w:rPr>
          <w:rFonts w:asciiTheme="minorHAnsi" w:hAnsiTheme="minorHAnsi" w:cstheme="minorHAnsi"/>
          <w:sz w:val="22"/>
          <w:szCs w:val="22"/>
        </w:rPr>
        <w:t xml:space="preserve">this </w:t>
      </w:r>
      <w:r w:rsidR="00394155" w:rsidRPr="00101CD5">
        <w:rPr>
          <w:rFonts w:asciiTheme="minorHAnsi" w:hAnsiTheme="minorHAnsi" w:cstheme="minorHAnsi"/>
          <w:sz w:val="22"/>
          <w:szCs w:val="22"/>
        </w:rPr>
        <w:t>emerging threat</w:t>
      </w:r>
      <w:r w:rsidR="009A4A5F" w:rsidRPr="00101CD5">
        <w:rPr>
          <w:rFonts w:asciiTheme="minorHAnsi" w:hAnsiTheme="minorHAnsi" w:cstheme="minorHAnsi"/>
          <w:sz w:val="22"/>
          <w:szCs w:val="22"/>
        </w:rPr>
        <w:t xml:space="preserve"> successfully.</w:t>
      </w:r>
    </w:p>
    <w:p w14:paraId="14EE1B22" w14:textId="53646DEB" w:rsidR="001F7CBF" w:rsidRPr="00930FD8" w:rsidRDefault="001F7CBF" w:rsidP="005C1E19">
      <w:pPr>
        <w:jc w:val="both"/>
        <w:rPr>
          <w:rFonts w:asciiTheme="minorHAnsi" w:hAnsiTheme="minorHAnsi" w:cstheme="minorHAnsi"/>
        </w:rPr>
      </w:pPr>
    </w:p>
    <w:p w14:paraId="3A8AFA5A" w14:textId="77777777" w:rsidR="00B41556" w:rsidRPr="00930FD8" w:rsidRDefault="00B41556" w:rsidP="005C1E19">
      <w:pPr>
        <w:jc w:val="both"/>
        <w:rPr>
          <w:rFonts w:asciiTheme="minorHAnsi" w:hAnsiTheme="minorHAnsi" w:cstheme="minorHAnsi"/>
        </w:rPr>
      </w:pPr>
    </w:p>
    <w:p w14:paraId="1348FFC8" w14:textId="715EC075" w:rsidR="00DB3680" w:rsidRPr="00930FD8" w:rsidRDefault="005C1E19" w:rsidP="00DB3680">
      <w:pPr>
        <w:jc w:val="both"/>
        <w:rPr>
          <w:rFonts w:asciiTheme="minorHAnsi" w:hAnsiTheme="minorHAnsi" w:cstheme="minorHAnsi"/>
          <w:color w:val="000000" w:themeColor="text1"/>
        </w:rPr>
      </w:pPr>
      <w:r w:rsidRPr="00930FD8">
        <w:rPr>
          <w:rFonts w:asciiTheme="minorHAnsi" w:hAnsiTheme="minorHAnsi" w:cstheme="minorHAnsi"/>
          <w:color w:val="000000" w:themeColor="text1"/>
        </w:rPr>
        <w:t>On 15 October 2021 British Member of Parliament Sir David Amess was stabbed and killed at an open forum for his constituents by twenty-five-year-old Islamic State sympathizer Ali Harbi Ali.</w:t>
      </w:r>
      <w:r w:rsidR="002E72F4" w:rsidRPr="00930FD8">
        <w:rPr>
          <w:rFonts w:asciiTheme="minorHAnsi" w:hAnsiTheme="minorHAnsi" w:cstheme="minorHAnsi"/>
          <w:color w:val="000000" w:themeColor="text1"/>
        </w:rPr>
        <w:t xml:space="preserve"> It would subsequently emerge that </w:t>
      </w:r>
      <w:r w:rsidR="00730309" w:rsidRPr="00930FD8">
        <w:rPr>
          <w:rFonts w:asciiTheme="minorHAnsi" w:hAnsiTheme="minorHAnsi" w:cstheme="minorHAnsi"/>
          <w:color w:val="000000" w:themeColor="text1"/>
        </w:rPr>
        <w:t xml:space="preserve">as a teenager </w:t>
      </w:r>
      <w:r w:rsidR="002E72F4" w:rsidRPr="00930FD8">
        <w:rPr>
          <w:rFonts w:asciiTheme="minorHAnsi" w:hAnsiTheme="minorHAnsi" w:cstheme="minorHAnsi"/>
          <w:color w:val="000000" w:themeColor="text1"/>
        </w:rPr>
        <w:t xml:space="preserve">Ali had been </w:t>
      </w:r>
      <w:r w:rsidR="0062692D" w:rsidRPr="00930FD8">
        <w:rPr>
          <w:rFonts w:asciiTheme="minorHAnsi" w:hAnsiTheme="minorHAnsi" w:cstheme="minorHAnsi"/>
          <w:color w:val="000000" w:themeColor="text1"/>
        </w:rPr>
        <w:t xml:space="preserve">identified by the UK’s </w:t>
      </w:r>
      <w:r w:rsidR="00730309" w:rsidRPr="00930FD8">
        <w:rPr>
          <w:rFonts w:asciiTheme="minorHAnsi" w:hAnsiTheme="minorHAnsi" w:cstheme="minorHAnsi"/>
          <w:color w:val="000000" w:themeColor="text1"/>
        </w:rPr>
        <w:t xml:space="preserve">Channel referral mechanism </w:t>
      </w:r>
      <w:r w:rsidR="0062692D" w:rsidRPr="00930FD8">
        <w:rPr>
          <w:rFonts w:asciiTheme="minorHAnsi" w:hAnsiTheme="minorHAnsi" w:cstheme="minorHAnsi"/>
          <w:color w:val="000000" w:themeColor="text1"/>
        </w:rPr>
        <w:t>as being</w:t>
      </w:r>
      <w:r w:rsidR="002E72F4" w:rsidRPr="00930FD8">
        <w:rPr>
          <w:rFonts w:asciiTheme="minorHAnsi" w:hAnsiTheme="minorHAnsi" w:cstheme="minorHAnsi"/>
          <w:color w:val="000000" w:themeColor="text1"/>
        </w:rPr>
        <w:t xml:space="preserve"> at-risk of radicalization by violent Islamist groups </w:t>
      </w:r>
      <w:r w:rsidR="0062692D" w:rsidRPr="00930FD8">
        <w:rPr>
          <w:rFonts w:asciiTheme="minorHAnsi" w:hAnsiTheme="minorHAnsi" w:cstheme="minorHAnsi"/>
          <w:color w:val="000000" w:themeColor="text1"/>
        </w:rPr>
        <w:t xml:space="preserve">and </w:t>
      </w:r>
      <w:r w:rsidR="002E72F4" w:rsidRPr="00930FD8">
        <w:rPr>
          <w:rFonts w:asciiTheme="minorHAnsi" w:hAnsiTheme="minorHAnsi" w:cstheme="minorHAnsi"/>
          <w:color w:val="000000" w:themeColor="text1"/>
        </w:rPr>
        <w:t xml:space="preserve">had </w:t>
      </w:r>
      <w:r w:rsidR="0062692D" w:rsidRPr="00930FD8">
        <w:rPr>
          <w:rFonts w:asciiTheme="minorHAnsi" w:hAnsiTheme="minorHAnsi" w:cstheme="minorHAnsi"/>
          <w:color w:val="000000" w:themeColor="text1"/>
        </w:rPr>
        <w:t xml:space="preserve">received several months of </w:t>
      </w:r>
      <w:r w:rsidR="00B27D8C" w:rsidRPr="00930FD8">
        <w:rPr>
          <w:rFonts w:asciiTheme="minorHAnsi" w:hAnsiTheme="minorHAnsi" w:cstheme="minorHAnsi"/>
          <w:color w:val="000000" w:themeColor="text1"/>
        </w:rPr>
        <w:t xml:space="preserve">voluntary </w:t>
      </w:r>
      <w:r w:rsidR="0062692D" w:rsidRPr="00930FD8">
        <w:rPr>
          <w:rFonts w:asciiTheme="minorHAnsi" w:hAnsiTheme="minorHAnsi" w:cstheme="minorHAnsi"/>
          <w:color w:val="000000" w:themeColor="text1"/>
        </w:rPr>
        <w:t>counselling</w:t>
      </w:r>
      <w:r w:rsidR="00730309" w:rsidRPr="00930FD8">
        <w:rPr>
          <w:rFonts w:asciiTheme="minorHAnsi" w:hAnsiTheme="minorHAnsi" w:cstheme="minorHAnsi"/>
          <w:color w:val="000000" w:themeColor="text1"/>
        </w:rPr>
        <w:t xml:space="preserve"> from the United Kingdom’s much-heralded Prevent program</w:t>
      </w:r>
      <w:r w:rsidR="0062692D" w:rsidRPr="00930FD8">
        <w:rPr>
          <w:rFonts w:asciiTheme="minorHAnsi" w:hAnsiTheme="minorHAnsi" w:cstheme="minorHAnsi"/>
          <w:color w:val="000000" w:themeColor="text1"/>
        </w:rPr>
        <w:t>.</w:t>
      </w:r>
      <w:r w:rsidR="0062692D" w:rsidRPr="00930FD8">
        <w:rPr>
          <w:rStyle w:val="FootnoteReference"/>
          <w:rFonts w:asciiTheme="minorHAnsi" w:hAnsiTheme="minorHAnsi" w:cstheme="minorHAnsi"/>
          <w:color w:val="000000" w:themeColor="text1"/>
        </w:rPr>
        <w:footnoteReference w:id="2"/>
      </w:r>
      <w:r w:rsidR="00B27D8C" w:rsidRPr="00930FD8">
        <w:rPr>
          <w:rFonts w:asciiTheme="minorHAnsi" w:hAnsiTheme="minorHAnsi" w:cstheme="minorHAnsi"/>
          <w:color w:val="000000" w:themeColor="text1"/>
        </w:rPr>
        <w:t xml:space="preserve"> He was discharged from the program after those handling his case concluded that he no longer posed a significant threat.</w:t>
      </w:r>
      <w:r w:rsidR="00DB3680" w:rsidRPr="00930FD8">
        <w:rPr>
          <w:rFonts w:asciiTheme="minorHAnsi" w:hAnsiTheme="minorHAnsi" w:cstheme="minorHAnsi"/>
          <w:color w:val="000000" w:themeColor="text1"/>
        </w:rPr>
        <w:t xml:space="preserve"> </w:t>
      </w:r>
      <w:r w:rsidR="00DB3680" w:rsidRPr="00930FD8">
        <w:rPr>
          <w:rFonts w:asciiTheme="minorHAnsi" w:hAnsiTheme="minorHAnsi" w:cstheme="minorHAnsi"/>
          <w:color w:val="000000" w:themeColor="text1"/>
          <w:shd w:val="clear" w:color="auto" w:fill="FFFFFF"/>
        </w:rPr>
        <w:t>During his trial in 2022 Ali told the Court that he had feigned compliance to mislead his Channel counsellors about his true beliefs and intentions: “I just knew to nod my head and say ‘yes’ and they would leave me alone afterwards and they did.”</w:t>
      </w:r>
      <w:r w:rsidR="00DB3680" w:rsidRPr="00930FD8">
        <w:rPr>
          <w:rStyle w:val="FootnoteReference"/>
          <w:rFonts w:asciiTheme="minorHAnsi" w:hAnsiTheme="minorHAnsi" w:cstheme="minorHAnsi"/>
          <w:color w:val="000000" w:themeColor="text1"/>
          <w:shd w:val="clear" w:color="auto" w:fill="FFFFFF"/>
        </w:rPr>
        <w:footnoteReference w:id="3"/>
      </w:r>
    </w:p>
    <w:p w14:paraId="75949853" w14:textId="0ADDC624" w:rsidR="005C1E19" w:rsidRPr="00930FD8" w:rsidRDefault="005C1E19" w:rsidP="007F5CA6">
      <w:pPr>
        <w:jc w:val="both"/>
        <w:rPr>
          <w:rFonts w:asciiTheme="minorHAnsi" w:hAnsiTheme="minorHAnsi" w:cstheme="minorHAnsi"/>
          <w:color w:val="000000" w:themeColor="text1"/>
        </w:rPr>
      </w:pPr>
    </w:p>
    <w:p w14:paraId="02C5AEC9" w14:textId="34FEE2CD" w:rsidR="00D54FB0" w:rsidRPr="00930FD8" w:rsidRDefault="007A373F" w:rsidP="007F5CA6">
      <w:pPr>
        <w:jc w:val="both"/>
        <w:rPr>
          <w:rFonts w:asciiTheme="minorHAnsi" w:hAnsiTheme="minorHAnsi" w:cstheme="minorHAnsi"/>
        </w:rPr>
      </w:pPr>
      <w:r w:rsidRPr="00930FD8">
        <w:rPr>
          <w:rFonts w:asciiTheme="minorHAnsi" w:hAnsiTheme="minorHAnsi" w:cstheme="minorHAnsi"/>
          <w:color w:val="000000" w:themeColor="text1"/>
        </w:rPr>
        <w:t>Preventing Violent Extremism</w:t>
      </w:r>
      <w:r w:rsidR="009F7CD1" w:rsidRPr="00930FD8">
        <w:rPr>
          <w:rFonts w:asciiTheme="minorHAnsi" w:hAnsiTheme="minorHAnsi" w:cstheme="minorHAnsi"/>
          <w:color w:val="000000" w:themeColor="text1"/>
        </w:rPr>
        <w:t xml:space="preserve"> (PVE)</w:t>
      </w:r>
      <w:r w:rsidRPr="00930FD8">
        <w:rPr>
          <w:rFonts w:asciiTheme="minorHAnsi" w:hAnsiTheme="minorHAnsi" w:cstheme="minorHAnsi"/>
          <w:color w:val="000000" w:themeColor="text1"/>
        </w:rPr>
        <w:t xml:space="preserve"> is a relatively new discipline in the </w:t>
      </w:r>
      <w:r w:rsidR="002B0348" w:rsidRPr="00930FD8">
        <w:rPr>
          <w:rFonts w:asciiTheme="minorHAnsi" w:hAnsiTheme="minorHAnsi" w:cstheme="minorHAnsi"/>
          <w:color w:val="000000" w:themeColor="text1"/>
        </w:rPr>
        <w:t xml:space="preserve">field of </w:t>
      </w:r>
      <w:r w:rsidRPr="00930FD8">
        <w:rPr>
          <w:rFonts w:asciiTheme="minorHAnsi" w:hAnsiTheme="minorHAnsi" w:cstheme="minorHAnsi"/>
          <w:color w:val="000000" w:themeColor="text1"/>
        </w:rPr>
        <w:t>counterterrorism</w:t>
      </w:r>
      <w:r w:rsidR="002B0348" w:rsidRPr="00930FD8">
        <w:rPr>
          <w:rFonts w:asciiTheme="minorHAnsi" w:hAnsiTheme="minorHAnsi" w:cstheme="minorHAnsi"/>
          <w:color w:val="000000" w:themeColor="text1"/>
        </w:rPr>
        <w:t xml:space="preserve">, </w:t>
      </w:r>
      <w:r w:rsidR="007C1DBB" w:rsidRPr="00930FD8">
        <w:rPr>
          <w:rFonts w:asciiTheme="minorHAnsi" w:hAnsiTheme="minorHAnsi" w:cstheme="minorHAnsi"/>
          <w:color w:val="000000" w:themeColor="text1"/>
        </w:rPr>
        <w:t xml:space="preserve">which is </w:t>
      </w:r>
      <w:r w:rsidR="002B0348" w:rsidRPr="00930FD8">
        <w:rPr>
          <w:rFonts w:asciiTheme="minorHAnsi" w:hAnsiTheme="minorHAnsi" w:cstheme="minorHAnsi"/>
          <w:color w:val="000000" w:themeColor="text1"/>
        </w:rPr>
        <w:t xml:space="preserve">itself a rapidly evolving area of both practice and research. </w:t>
      </w:r>
      <w:r w:rsidR="007C1DBB" w:rsidRPr="00930FD8">
        <w:rPr>
          <w:rFonts w:asciiTheme="minorHAnsi" w:hAnsiTheme="minorHAnsi" w:cstheme="minorHAnsi"/>
          <w:color w:val="000000" w:themeColor="text1"/>
        </w:rPr>
        <w:t xml:space="preserve"> </w:t>
      </w:r>
      <w:r w:rsidR="009F7CD1" w:rsidRPr="00930FD8">
        <w:rPr>
          <w:rFonts w:asciiTheme="minorHAnsi" w:hAnsiTheme="minorHAnsi" w:cstheme="minorHAnsi"/>
          <w:color w:val="000000" w:themeColor="text1"/>
        </w:rPr>
        <w:t>As the name suggests,</w:t>
      </w:r>
      <w:r w:rsidR="007C1DBB" w:rsidRPr="00930FD8">
        <w:rPr>
          <w:rFonts w:asciiTheme="minorHAnsi" w:hAnsiTheme="minorHAnsi" w:cstheme="minorHAnsi"/>
          <w:color w:val="000000" w:themeColor="text1"/>
        </w:rPr>
        <w:t xml:space="preserve"> </w:t>
      </w:r>
      <w:r w:rsidR="009F7CD1" w:rsidRPr="00930FD8">
        <w:rPr>
          <w:rFonts w:asciiTheme="minorHAnsi" w:hAnsiTheme="minorHAnsi" w:cstheme="minorHAnsi"/>
          <w:color w:val="000000" w:themeColor="text1"/>
        </w:rPr>
        <w:t>PVE</w:t>
      </w:r>
      <w:r w:rsidR="007C1DBB" w:rsidRPr="00930FD8">
        <w:rPr>
          <w:rFonts w:asciiTheme="minorHAnsi" w:hAnsiTheme="minorHAnsi" w:cstheme="minorHAnsi"/>
          <w:color w:val="000000" w:themeColor="text1"/>
        </w:rPr>
        <w:t xml:space="preserve"> </w:t>
      </w:r>
      <w:r w:rsidR="009F7CD1" w:rsidRPr="00930FD8">
        <w:rPr>
          <w:rFonts w:asciiTheme="minorHAnsi" w:hAnsiTheme="minorHAnsi" w:cstheme="minorHAnsi"/>
          <w:color w:val="000000" w:themeColor="text1"/>
        </w:rPr>
        <w:t xml:space="preserve">has evolved from, and thus </w:t>
      </w:r>
      <w:r w:rsidR="007C1DBB" w:rsidRPr="00930FD8">
        <w:rPr>
          <w:rFonts w:asciiTheme="minorHAnsi" w:hAnsiTheme="minorHAnsi" w:cstheme="minorHAnsi"/>
          <w:color w:val="000000" w:themeColor="text1"/>
        </w:rPr>
        <w:t xml:space="preserve">shares many of the same theoretical foundations </w:t>
      </w:r>
      <w:r w:rsidR="009F7CD1" w:rsidRPr="00930FD8">
        <w:rPr>
          <w:rFonts w:asciiTheme="minorHAnsi" w:hAnsiTheme="minorHAnsi" w:cstheme="minorHAnsi"/>
          <w:color w:val="000000" w:themeColor="text1"/>
        </w:rPr>
        <w:t>as</w:t>
      </w:r>
      <w:r w:rsidR="007E5C5D" w:rsidRPr="00930FD8">
        <w:rPr>
          <w:rFonts w:asciiTheme="minorHAnsi" w:hAnsiTheme="minorHAnsi" w:cstheme="minorHAnsi"/>
          <w:color w:val="000000" w:themeColor="text1"/>
        </w:rPr>
        <w:t xml:space="preserve">, </w:t>
      </w:r>
      <w:r w:rsidR="009F7CD1" w:rsidRPr="00930FD8">
        <w:rPr>
          <w:rFonts w:asciiTheme="minorHAnsi" w:hAnsiTheme="minorHAnsi" w:cstheme="minorHAnsi"/>
          <w:color w:val="000000" w:themeColor="text1"/>
        </w:rPr>
        <w:t xml:space="preserve">the closely related discipline of Countering Violent Extremism (CVE). The main difference between PVE and CVE programming is essentially the element of pre-emption, </w:t>
      </w:r>
      <w:r w:rsidR="00247712" w:rsidRPr="00930FD8">
        <w:rPr>
          <w:rFonts w:asciiTheme="minorHAnsi" w:hAnsiTheme="minorHAnsi" w:cstheme="minorHAnsi"/>
          <w:color w:val="000000" w:themeColor="text1"/>
        </w:rPr>
        <w:t xml:space="preserve">the desire to intervene to divert an individual from a potential descent into violent extremism before they have committed any </w:t>
      </w:r>
      <w:r w:rsidR="00D54FB0" w:rsidRPr="00930FD8">
        <w:rPr>
          <w:rFonts w:asciiTheme="minorHAnsi" w:hAnsiTheme="minorHAnsi" w:cstheme="minorHAnsi"/>
          <w:color w:val="000000" w:themeColor="text1"/>
        </w:rPr>
        <w:t xml:space="preserve">criminal </w:t>
      </w:r>
      <w:r w:rsidR="00247712" w:rsidRPr="00930FD8">
        <w:rPr>
          <w:rFonts w:asciiTheme="minorHAnsi" w:hAnsiTheme="minorHAnsi" w:cstheme="minorHAnsi"/>
          <w:color w:val="000000" w:themeColor="text1"/>
        </w:rPr>
        <w:t>offence.</w:t>
      </w:r>
      <w:r w:rsidR="00E50D4C" w:rsidRPr="00930FD8">
        <w:rPr>
          <w:rFonts w:asciiTheme="minorHAnsi" w:hAnsiTheme="minorHAnsi" w:cstheme="minorHAnsi"/>
          <w:color w:val="000000" w:themeColor="text1"/>
        </w:rPr>
        <w:t xml:space="preserve"> It is this aspect that makes PVE potentially so contentious – </w:t>
      </w:r>
      <w:r w:rsidR="00CF0C4A" w:rsidRPr="00930FD8">
        <w:rPr>
          <w:rFonts w:asciiTheme="minorHAnsi" w:hAnsiTheme="minorHAnsi" w:cstheme="minorHAnsi"/>
          <w:color w:val="000000" w:themeColor="text1"/>
        </w:rPr>
        <w:t xml:space="preserve">PVE initiatives </w:t>
      </w:r>
      <w:r w:rsidR="00E50D4C" w:rsidRPr="00930FD8">
        <w:rPr>
          <w:rFonts w:asciiTheme="minorHAnsi" w:hAnsiTheme="minorHAnsi" w:cstheme="minorHAnsi"/>
          <w:color w:val="000000" w:themeColor="text1"/>
        </w:rPr>
        <w:t>operate in a “pre-criminal space”</w:t>
      </w:r>
      <w:r w:rsidR="00CF0C4A" w:rsidRPr="00930FD8">
        <w:rPr>
          <w:rFonts w:asciiTheme="minorHAnsi" w:hAnsiTheme="minorHAnsi" w:cstheme="minorHAnsi"/>
          <w:color w:val="000000" w:themeColor="text1"/>
        </w:rPr>
        <w:t xml:space="preserve"> where no laws have been broken.</w:t>
      </w:r>
      <w:r w:rsidR="00E50D4C" w:rsidRPr="00930FD8">
        <w:rPr>
          <w:rStyle w:val="FootnoteReference"/>
          <w:rFonts w:asciiTheme="minorHAnsi" w:hAnsiTheme="minorHAnsi" w:cstheme="minorHAnsi"/>
          <w:color w:val="000000" w:themeColor="text1"/>
        </w:rPr>
        <w:footnoteReference w:id="4"/>
      </w:r>
      <w:r w:rsidR="00247712" w:rsidRPr="00930FD8">
        <w:rPr>
          <w:rFonts w:asciiTheme="minorHAnsi" w:hAnsiTheme="minorHAnsi" w:cstheme="minorHAnsi"/>
          <w:color w:val="000000" w:themeColor="text1"/>
        </w:rPr>
        <w:t xml:space="preserve"> </w:t>
      </w:r>
      <w:r w:rsidR="00D54FB0" w:rsidRPr="00930FD8">
        <w:rPr>
          <w:rFonts w:asciiTheme="minorHAnsi" w:hAnsiTheme="minorHAnsi" w:cstheme="minorHAnsi"/>
          <w:color w:val="000000" w:themeColor="text1"/>
        </w:rPr>
        <w:t>We still lack sufficient data on the success or otherwise of many of these program</w:t>
      </w:r>
      <w:r w:rsidR="00436CD0" w:rsidRPr="00930FD8">
        <w:rPr>
          <w:rFonts w:asciiTheme="minorHAnsi" w:hAnsiTheme="minorHAnsi" w:cstheme="minorHAnsi"/>
          <w:color w:val="000000" w:themeColor="text1"/>
        </w:rPr>
        <w:t>s</w:t>
      </w:r>
      <w:r w:rsidR="007A1802" w:rsidRPr="00930FD8">
        <w:rPr>
          <w:rFonts w:asciiTheme="minorHAnsi" w:hAnsiTheme="minorHAnsi" w:cstheme="minorHAnsi"/>
          <w:color w:val="000000" w:themeColor="text1"/>
        </w:rPr>
        <w:t xml:space="preserve">, and while it is possible to quantify manifest failures, such as the case of Ali Harbi Ali outlined above, </w:t>
      </w:r>
      <w:r w:rsidR="00CF0C4A" w:rsidRPr="00930FD8">
        <w:rPr>
          <w:rFonts w:asciiTheme="minorHAnsi" w:hAnsiTheme="minorHAnsi" w:cstheme="minorHAnsi"/>
          <w:color w:val="000000" w:themeColor="text1"/>
        </w:rPr>
        <w:t xml:space="preserve">it is much harder to quantify PVE’s successes and credibly </w:t>
      </w:r>
      <w:r w:rsidR="007A1802" w:rsidRPr="00930FD8">
        <w:rPr>
          <w:rFonts w:asciiTheme="minorHAnsi" w:hAnsiTheme="minorHAnsi" w:cstheme="minorHAnsi"/>
          <w:color w:val="000000" w:themeColor="text1"/>
        </w:rPr>
        <w:t>attribute causation to events that did not occur</w:t>
      </w:r>
      <w:r w:rsidR="00BE3480" w:rsidRPr="00930FD8">
        <w:rPr>
          <w:rFonts w:asciiTheme="minorHAnsi" w:hAnsiTheme="minorHAnsi" w:cstheme="minorHAnsi"/>
          <w:color w:val="000000" w:themeColor="text1"/>
        </w:rPr>
        <w:t>.</w:t>
      </w:r>
      <w:r w:rsidR="007A1802" w:rsidRPr="00930FD8">
        <w:rPr>
          <w:rFonts w:asciiTheme="minorHAnsi" w:hAnsiTheme="minorHAnsi" w:cstheme="minorHAnsi"/>
          <w:color w:val="000000" w:themeColor="text1"/>
        </w:rPr>
        <w:t xml:space="preserve"> I</w:t>
      </w:r>
      <w:r w:rsidR="00BE3480" w:rsidRPr="00930FD8">
        <w:rPr>
          <w:rFonts w:asciiTheme="minorHAnsi" w:hAnsiTheme="minorHAnsi" w:cstheme="minorHAnsi"/>
          <w:color w:val="000000" w:themeColor="text1"/>
        </w:rPr>
        <w:t>ndeed</w:t>
      </w:r>
      <w:r w:rsidR="007A1802" w:rsidRPr="00930FD8">
        <w:rPr>
          <w:rFonts w:asciiTheme="minorHAnsi" w:hAnsiTheme="minorHAnsi" w:cstheme="minorHAnsi"/>
          <w:color w:val="000000" w:themeColor="text1"/>
        </w:rPr>
        <w:t xml:space="preserve">, </w:t>
      </w:r>
      <w:r w:rsidR="001E6633" w:rsidRPr="00930FD8">
        <w:rPr>
          <w:rFonts w:asciiTheme="minorHAnsi" w:hAnsiTheme="minorHAnsi" w:cstheme="minorHAnsi"/>
          <w:color w:val="000000" w:themeColor="text1"/>
        </w:rPr>
        <w:t xml:space="preserve">it is quite reasonable to </w:t>
      </w:r>
      <w:r w:rsidR="007F5CA6" w:rsidRPr="00930FD8">
        <w:rPr>
          <w:rFonts w:asciiTheme="minorHAnsi" w:hAnsiTheme="minorHAnsi" w:cstheme="minorHAnsi"/>
          <w:color w:val="000000" w:themeColor="text1"/>
        </w:rPr>
        <w:t>posit</w:t>
      </w:r>
      <w:r w:rsidR="001E6633" w:rsidRPr="00930FD8">
        <w:rPr>
          <w:rFonts w:asciiTheme="minorHAnsi" w:hAnsiTheme="minorHAnsi" w:cstheme="minorHAnsi"/>
          <w:color w:val="000000" w:themeColor="text1"/>
        </w:rPr>
        <w:t xml:space="preserve"> that</w:t>
      </w:r>
      <w:r w:rsidR="007A1802" w:rsidRPr="00930FD8">
        <w:rPr>
          <w:rFonts w:asciiTheme="minorHAnsi" w:hAnsiTheme="minorHAnsi" w:cstheme="minorHAnsi"/>
          <w:color w:val="000000" w:themeColor="text1"/>
        </w:rPr>
        <w:t xml:space="preserve"> </w:t>
      </w:r>
      <w:r w:rsidR="007F5CA6" w:rsidRPr="00930FD8">
        <w:rPr>
          <w:rFonts w:asciiTheme="minorHAnsi" w:hAnsiTheme="minorHAnsi" w:cstheme="minorHAnsi"/>
          <w:color w:val="000000" w:themeColor="text1"/>
        </w:rPr>
        <w:t>many</w:t>
      </w:r>
      <w:r w:rsidR="00544864" w:rsidRPr="00930FD8">
        <w:rPr>
          <w:rFonts w:asciiTheme="minorHAnsi" w:hAnsiTheme="minorHAnsi" w:cstheme="minorHAnsi"/>
          <w:color w:val="000000" w:themeColor="text1"/>
        </w:rPr>
        <w:t>, if not most,</w:t>
      </w:r>
      <w:r w:rsidR="007A1802" w:rsidRPr="00930FD8">
        <w:rPr>
          <w:rFonts w:asciiTheme="minorHAnsi" w:hAnsiTheme="minorHAnsi" w:cstheme="minorHAnsi"/>
          <w:color w:val="000000" w:themeColor="text1"/>
        </w:rPr>
        <w:t xml:space="preserve"> of those individuals referred to PVE programs around </w:t>
      </w:r>
      <w:r w:rsidR="001E6633" w:rsidRPr="00930FD8">
        <w:rPr>
          <w:rFonts w:asciiTheme="minorHAnsi" w:hAnsiTheme="minorHAnsi" w:cstheme="minorHAnsi"/>
          <w:color w:val="000000" w:themeColor="text1"/>
        </w:rPr>
        <w:t xml:space="preserve">the world </w:t>
      </w:r>
      <w:r w:rsidR="007A1802" w:rsidRPr="00930FD8">
        <w:rPr>
          <w:rFonts w:asciiTheme="minorHAnsi" w:hAnsiTheme="minorHAnsi" w:cstheme="minorHAnsi"/>
          <w:color w:val="000000" w:themeColor="text1"/>
        </w:rPr>
        <w:t>would not have go</w:t>
      </w:r>
      <w:r w:rsidR="001E6633" w:rsidRPr="00930FD8">
        <w:rPr>
          <w:rFonts w:asciiTheme="minorHAnsi" w:hAnsiTheme="minorHAnsi" w:cstheme="minorHAnsi"/>
          <w:color w:val="000000" w:themeColor="text1"/>
        </w:rPr>
        <w:t>ne</w:t>
      </w:r>
      <w:r w:rsidR="007A1802" w:rsidRPr="00930FD8">
        <w:rPr>
          <w:rFonts w:asciiTheme="minorHAnsi" w:hAnsiTheme="minorHAnsi" w:cstheme="minorHAnsi"/>
          <w:color w:val="000000" w:themeColor="text1"/>
        </w:rPr>
        <w:t xml:space="preserve"> on to be involved in terrorism</w:t>
      </w:r>
      <w:r w:rsidR="001E6633" w:rsidRPr="00930FD8">
        <w:rPr>
          <w:rFonts w:asciiTheme="minorHAnsi" w:hAnsiTheme="minorHAnsi" w:cstheme="minorHAnsi"/>
          <w:color w:val="000000" w:themeColor="text1"/>
        </w:rPr>
        <w:t>,</w:t>
      </w:r>
      <w:r w:rsidR="007A1802" w:rsidRPr="00930FD8">
        <w:rPr>
          <w:rFonts w:asciiTheme="minorHAnsi" w:hAnsiTheme="minorHAnsi" w:cstheme="minorHAnsi"/>
          <w:color w:val="000000" w:themeColor="text1"/>
        </w:rPr>
        <w:t xml:space="preserve"> regardless of </w:t>
      </w:r>
      <w:r w:rsidR="001E6633" w:rsidRPr="00930FD8">
        <w:rPr>
          <w:rFonts w:asciiTheme="minorHAnsi" w:hAnsiTheme="minorHAnsi" w:cstheme="minorHAnsi"/>
          <w:color w:val="000000" w:themeColor="text1"/>
        </w:rPr>
        <w:t xml:space="preserve">whether or not there had been </w:t>
      </w:r>
      <w:r w:rsidR="007A1802" w:rsidRPr="00930FD8">
        <w:rPr>
          <w:rFonts w:asciiTheme="minorHAnsi" w:hAnsiTheme="minorHAnsi" w:cstheme="minorHAnsi"/>
          <w:color w:val="000000" w:themeColor="text1"/>
        </w:rPr>
        <w:t>any intervention by the state.</w:t>
      </w:r>
      <w:r w:rsidR="001E6633" w:rsidRPr="00930FD8">
        <w:rPr>
          <w:rFonts w:asciiTheme="minorHAnsi" w:hAnsiTheme="minorHAnsi" w:cstheme="minorHAnsi"/>
          <w:color w:val="000000" w:themeColor="text1"/>
        </w:rPr>
        <w:t xml:space="preserve"> Even more troubling is the possibility that PVE programs </w:t>
      </w:r>
      <w:r w:rsidR="001719F0" w:rsidRPr="00930FD8">
        <w:rPr>
          <w:rFonts w:asciiTheme="minorHAnsi" w:hAnsiTheme="minorHAnsi" w:cstheme="minorHAnsi"/>
          <w:color w:val="000000" w:themeColor="text1"/>
        </w:rPr>
        <w:t>may even be</w:t>
      </w:r>
      <w:r w:rsidR="001E6633" w:rsidRPr="00930FD8">
        <w:rPr>
          <w:rFonts w:asciiTheme="minorHAnsi" w:hAnsiTheme="minorHAnsi" w:cstheme="minorHAnsi"/>
          <w:color w:val="000000" w:themeColor="text1"/>
        </w:rPr>
        <w:t xml:space="preserve"> pushing more individuals into extremist groups than they pulling out of it. According to an investigation broadcast by the British television news program</w:t>
      </w:r>
      <w:r w:rsidR="00436CD0" w:rsidRPr="00930FD8">
        <w:rPr>
          <w:rFonts w:asciiTheme="minorHAnsi" w:hAnsiTheme="minorHAnsi" w:cstheme="minorHAnsi"/>
          <w:color w:val="000000" w:themeColor="text1"/>
        </w:rPr>
        <w:t>s</w:t>
      </w:r>
      <w:r w:rsidR="001E6633" w:rsidRPr="00930FD8">
        <w:rPr>
          <w:rFonts w:asciiTheme="minorHAnsi" w:hAnsiTheme="minorHAnsi" w:cstheme="minorHAnsi"/>
          <w:color w:val="000000" w:themeColor="text1"/>
        </w:rPr>
        <w:t> </w:t>
      </w:r>
      <w:r w:rsidR="001E6633" w:rsidRPr="00930FD8">
        <w:rPr>
          <w:rFonts w:asciiTheme="minorHAnsi" w:hAnsiTheme="minorHAnsi" w:cstheme="minorHAnsi"/>
          <w:i/>
          <w:iCs/>
          <w:color w:val="000000" w:themeColor="text1"/>
        </w:rPr>
        <w:t>Dispatches</w:t>
      </w:r>
      <w:r w:rsidR="001E6633" w:rsidRPr="00930FD8">
        <w:rPr>
          <w:rFonts w:asciiTheme="minorHAnsi" w:hAnsiTheme="minorHAnsi" w:cstheme="minorHAnsi"/>
          <w:color w:val="000000" w:themeColor="text1"/>
        </w:rPr>
        <w:t xml:space="preserve"> in April 2022, </w:t>
      </w:r>
      <w:r w:rsidR="001E6633" w:rsidRPr="00930FD8">
        <w:rPr>
          <w:rFonts w:asciiTheme="minorHAnsi" w:hAnsiTheme="minorHAnsi" w:cstheme="minorHAnsi"/>
          <w:color w:val="000000" w:themeColor="text1"/>
          <w:shd w:val="clear" w:color="auto" w:fill="FFFFFF"/>
        </w:rPr>
        <w:t xml:space="preserve">seven of the 13 terrorist attacks carried out in </w:t>
      </w:r>
      <w:r w:rsidR="00A76843" w:rsidRPr="00930FD8">
        <w:rPr>
          <w:rFonts w:asciiTheme="minorHAnsi" w:hAnsiTheme="minorHAnsi" w:cstheme="minorHAnsi"/>
          <w:color w:val="000000" w:themeColor="text1"/>
          <w:shd w:val="clear" w:color="auto" w:fill="FFFFFF"/>
        </w:rPr>
        <w:t>Great Britain</w:t>
      </w:r>
      <w:r w:rsidR="001E6633" w:rsidRPr="00930FD8">
        <w:rPr>
          <w:rFonts w:asciiTheme="minorHAnsi" w:hAnsiTheme="minorHAnsi" w:cstheme="minorHAnsi"/>
          <w:color w:val="000000" w:themeColor="text1"/>
          <w:shd w:val="clear" w:color="auto" w:fill="FFFFFF"/>
        </w:rPr>
        <w:t xml:space="preserve"> in the</w:t>
      </w:r>
      <w:r w:rsidR="001E6633" w:rsidRPr="00930FD8">
        <w:rPr>
          <w:rFonts w:asciiTheme="minorHAnsi" w:hAnsiTheme="minorHAnsi" w:cstheme="minorHAnsi"/>
          <w:color w:val="000000" w:themeColor="text1"/>
        </w:rPr>
        <w:t> past five years were perpetrated by offenders known to the Prevent program</w:t>
      </w:r>
      <w:r w:rsidR="00436CD0" w:rsidRPr="00930FD8">
        <w:rPr>
          <w:rFonts w:asciiTheme="minorHAnsi" w:hAnsiTheme="minorHAnsi" w:cstheme="minorHAnsi"/>
          <w:color w:val="000000" w:themeColor="text1"/>
        </w:rPr>
        <w:t>s</w:t>
      </w:r>
      <w:r w:rsidR="001E6633" w:rsidRPr="00930FD8">
        <w:rPr>
          <w:rFonts w:asciiTheme="minorHAnsi" w:hAnsiTheme="minorHAnsi" w:cstheme="minorHAnsi"/>
          <w:color w:val="000000" w:themeColor="text1"/>
        </w:rPr>
        <w:t>. These attacks killed 14 people and injured 128.</w:t>
      </w:r>
      <w:r w:rsidR="001E6633" w:rsidRPr="00930FD8">
        <w:rPr>
          <w:rStyle w:val="FootnoteReference"/>
          <w:rFonts w:asciiTheme="minorHAnsi" w:hAnsiTheme="minorHAnsi" w:cstheme="minorHAnsi"/>
          <w:color w:val="000000" w:themeColor="text1"/>
        </w:rPr>
        <w:footnoteReference w:id="5"/>
      </w:r>
    </w:p>
    <w:p w14:paraId="44B3EB40" w14:textId="5D46D432" w:rsidR="00D54FB0" w:rsidRPr="00930FD8" w:rsidRDefault="00D54FB0" w:rsidP="00B12F4E">
      <w:pPr>
        <w:jc w:val="both"/>
        <w:rPr>
          <w:rFonts w:asciiTheme="minorHAnsi" w:hAnsiTheme="minorHAnsi" w:cstheme="minorHAnsi"/>
          <w:color w:val="000000" w:themeColor="text1"/>
        </w:rPr>
      </w:pPr>
    </w:p>
    <w:p w14:paraId="062E520E" w14:textId="1F98FC66" w:rsidR="00386729" w:rsidRPr="00930FD8" w:rsidRDefault="007E5C5D" w:rsidP="007E5C5D">
      <w:pPr>
        <w:jc w:val="both"/>
        <w:rPr>
          <w:rFonts w:asciiTheme="minorHAnsi" w:hAnsiTheme="minorHAnsi" w:cstheme="minorHAnsi"/>
          <w:color w:val="000000" w:themeColor="text1"/>
        </w:rPr>
      </w:pPr>
      <w:r w:rsidRPr="00930FD8">
        <w:rPr>
          <w:rFonts w:asciiTheme="minorHAnsi" w:hAnsiTheme="minorHAnsi" w:cstheme="minorHAnsi"/>
          <w:color w:val="000000" w:themeColor="text1"/>
        </w:rPr>
        <w:t xml:space="preserve">In this chapter I will seek to unpack some of the main </w:t>
      </w:r>
      <w:r w:rsidR="007A373F" w:rsidRPr="00930FD8">
        <w:rPr>
          <w:rFonts w:asciiTheme="minorHAnsi" w:hAnsiTheme="minorHAnsi" w:cstheme="minorHAnsi"/>
          <w:color w:val="000000" w:themeColor="text1"/>
        </w:rPr>
        <w:t>challenges</w:t>
      </w:r>
      <w:r w:rsidRPr="00930FD8">
        <w:rPr>
          <w:rFonts w:asciiTheme="minorHAnsi" w:hAnsiTheme="minorHAnsi" w:cstheme="minorHAnsi"/>
          <w:color w:val="000000" w:themeColor="text1"/>
        </w:rPr>
        <w:t xml:space="preserve"> and</w:t>
      </w:r>
      <w:r w:rsidR="007A373F" w:rsidRPr="00930FD8">
        <w:rPr>
          <w:rFonts w:asciiTheme="minorHAnsi" w:hAnsiTheme="minorHAnsi" w:cstheme="minorHAnsi"/>
          <w:color w:val="000000" w:themeColor="text1"/>
        </w:rPr>
        <w:t xml:space="preserve"> shortcomings of PVE programm</w:t>
      </w:r>
      <w:r w:rsidRPr="00930FD8">
        <w:rPr>
          <w:rFonts w:asciiTheme="minorHAnsi" w:hAnsiTheme="minorHAnsi" w:cstheme="minorHAnsi"/>
          <w:color w:val="000000" w:themeColor="text1"/>
        </w:rPr>
        <w:t xml:space="preserve">ing that have </w:t>
      </w:r>
      <w:r w:rsidR="00B04390" w:rsidRPr="00930FD8">
        <w:rPr>
          <w:rFonts w:asciiTheme="minorHAnsi" w:hAnsiTheme="minorHAnsi" w:cstheme="minorHAnsi"/>
          <w:color w:val="000000" w:themeColor="text1"/>
        </w:rPr>
        <w:t>emerged in the past decade</w:t>
      </w:r>
      <w:r w:rsidRPr="00930FD8">
        <w:rPr>
          <w:rFonts w:asciiTheme="minorHAnsi" w:hAnsiTheme="minorHAnsi" w:cstheme="minorHAnsi"/>
          <w:color w:val="000000" w:themeColor="text1"/>
        </w:rPr>
        <w:t>.</w:t>
      </w:r>
      <w:r w:rsidR="00B04390" w:rsidRPr="00930FD8">
        <w:rPr>
          <w:rFonts w:asciiTheme="minorHAnsi" w:hAnsiTheme="minorHAnsi" w:cstheme="minorHAnsi"/>
          <w:color w:val="000000" w:themeColor="text1"/>
        </w:rPr>
        <w:t xml:space="preserve"> </w:t>
      </w:r>
      <w:r w:rsidR="00D1658D" w:rsidRPr="00930FD8">
        <w:rPr>
          <w:rFonts w:asciiTheme="minorHAnsi" w:hAnsiTheme="minorHAnsi" w:cstheme="minorHAnsi"/>
          <w:color w:val="000000" w:themeColor="text1"/>
        </w:rPr>
        <w:t xml:space="preserve">In doing so, I will be focusing on Britain’s Prevent program as it is perhaps the most extensive and mature of such national interventions, and thus also the most extensively studied and reported. </w:t>
      </w:r>
      <w:r w:rsidR="00B04390" w:rsidRPr="00930FD8">
        <w:rPr>
          <w:rFonts w:asciiTheme="minorHAnsi" w:hAnsiTheme="minorHAnsi" w:cstheme="minorHAnsi"/>
          <w:color w:val="000000" w:themeColor="text1"/>
        </w:rPr>
        <w:t xml:space="preserve">In the interests of full disclosure, I must </w:t>
      </w:r>
      <w:r w:rsidR="00D1658D" w:rsidRPr="00930FD8">
        <w:rPr>
          <w:rFonts w:asciiTheme="minorHAnsi" w:hAnsiTheme="minorHAnsi" w:cstheme="minorHAnsi"/>
          <w:color w:val="000000" w:themeColor="text1"/>
        </w:rPr>
        <w:t xml:space="preserve">also </w:t>
      </w:r>
      <w:r w:rsidR="00B04390" w:rsidRPr="00930FD8">
        <w:rPr>
          <w:rFonts w:asciiTheme="minorHAnsi" w:hAnsiTheme="minorHAnsi" w:cstheme="minorHAnsi"/>
          <w:color w:val="000000" w:themeColor="text1"/>
        </w:rPr>
        <w:t xml:space="preserve">confess that I was an early advocate of PVE </w:t>
      </w:r>
      <w:r w:rsidR="00543404" w:rsidRPr="00930FD8">
        <w:rPr>
          <w:rFonts w:asciiTheme="minorHAnsi" w:hAnsiTheme="minorHAnsi" w:cstheme="minorHAnsi"/>
          <w:color w:val="000000" w:themeColor="text1"/>
        </w:rPr>
        <w:t xml:space="preserve">programs </w:t>
      </w:r>
      <w:r w:rsidR="00B04390" w:rsidRPr="00930FD8">
        <w:rPr>
          <w:rFonts w:asciiTheme="minorHAnsi" w:hAnsiTheme="minorHAnsi" w:cstheme="minorHAnsi"/>
          <w:color w:val="000000" w:themeColor="text1"/>
        </w:rPr>
        <w:t>and I played a significant role in the drafting of the U</w:t>
      </w:r>
      <w:r w:rsidR="00190F77" w:rsidRPr="00930FD8">
        <w:rPr>
          <w:rFonts w:asciiTheme="minorHAnsi" w:hAnsiTheme="minorHAnsi" w:cstheme="minorHAnsi"/>
          <w:color w:val="000000" w:themeColor="text1"/>
        </w:rPr>
        <w:t xml:space="preserve">nited </w:t>
      </w:r>
      <w:r w:rsidR="00B04390" w:rsidRPr="00930FD8">
        <w:rPr>
          <w:rFonts w:asciiTheme="minorHAnsi" w:hAnsiTheme="minorHAnsi" w:cstheme="minorHAnsi"/>
          <w:color w:val="000000" w:themeColor="text1"/>
        </w:rPr>
        <w:t>N</w:t>
      </w:r>
      <w:r w:rsidR="00190F77" w:rsidRPr="00930FD8">
        <w:rPr>
          <w:rFonts w:asciiTheme="minorHAnsi" w:hAnsiTheme="minorHAnsi" w:cstheme="minorHAnsi"/>
          <w:color w:val="000000" w:themeColor="text1"/>
        </w:rPr>
        <w:t>ation</w:t>
      </w:r>
      <w:r w:rsidR="00B04390" w:rsidRPr="00930FD8">
        <w:rPr>
          <w:rFonts w:asciiTheme="minorHAnsi" w:hAnsiTheme="minorHAnsi" w:cstheme="minorHAnsi"/>
          <w:color w:val="000000" w:themeColor="text1"/>
        </w:rPr>
        <w:t xml:space="preserve">’s Preventing Violent Extremism Plan of Action. It continues to be my firm belief that there is much that is worthwhile in the desire to strengthen the resilience of at-risk communities to resist the siren call of extremist voices who </w:t>
      </w:r>
      <w:r w:rsidR="002E01B4" w:rsidRPr="00930FD8">
        <w:rPr>
          <w:rFonts w:asciiTheme="minorHAnsi" w:hAnsiTheme="minorHAnsi" w:cstheme="minorHAnsi"/>
          <w:color w:val="000000" w:themeColor="text1"/>
        </w:rPr>
        <w:t>of</w:t>
      </w:r>
      <w:r w:rsidR="00B04390" w:rsidRPr="00930FD8">
        <w:rPr>
          <w:rFonts w:asciiTheme="minorHAnsi" w:hAnsiTheme="minorHAnsi" w:cstheme="minorHAnsi"/>
          <w:color w:val="000000" w:themeColor="text1"/>
        </w:rPr>
        <w:t xml:space="preserve">ten appeal to </w:t>
      </w:r>
      <w:r w:rsidR="002E01B4" w:rsidRPr="00930FD8">
        <w:rPr>
          <w:rFonts w:asciiTheme="minorHAnsi" w:hAnsiTheme="minorHAnsi" w:cstheme="minorHAnsi"/>
          <w:color w:val="000000" w:themeColor="text1"/>
        </w:rPr>
        <w:t xml:space="preserve">powerful </w:t>
      </w:r>
      <w:r w:rsidR="00B04390" w:rsidRPr="00930FD8">
        <w:rPr>
          <w:rFonts w:asciiTheme="minorHAnsi" w:hAnsiTheme="minorHAnsi" w:cstheme="minorHAnsi"/>
          <w:color w:val="000000" w:themeColor="text1"/>
        </w:rPr>
        <w:t xml:space="preserve">deep-seated atavistic impulses </w:t>
      </w:r>
      <w:r w:rsidR="002E01B4" w:rsidRPr="00930FD8">
        <w:rPr>
          <w:rFonts w:asciiTheme="minorHAnsi" w:hAnsiTheme="minorHAnsi" w:cstheme="minorHAnsi"/>
          <w:color w:val="000000" w:themeColor="text1"/>
        </w:rPr>
        <w:t xml:space="preserve">rooted in identity, race, and religion. Where </w:t>
      </w:r>
      <w:r w:rsidR="003E10B0" w:rsidRPr="00930FD8">
        <w:rPr>
          <w:rFonts w:asciiTheme="minorHAnsi" w:hAnsiTheme="minorHAnsi" w:cstheme="minorHAnsi"/>
          <w:color w:val="000000" w:themeColor="text1"/>
        </w:rPr>
        <w:t xml:space="preserve">significant </w:t>
      </w:r>
      <w:r w:rsidR="002E01B4" w:rsidRPr="00930FD8">
        <w:rPr>
          <w:rFonts w:asciiTheme="minorHAnsi" w:hAnsiTheme="minorHAnsi" w:cstheme="minorHAnsi"/>
          <w:color w:val="000000" w:themeColor="text1"/>
        </w:rPr>
        <w:t>political, economic, and social inequalities exist</w:t>
      </w:r>
      <w:r w:rsidR="00543404" w:rsidRPr="00930FD8">
        <w:rPr>
          <w:rFonts w:asciiTheme="minorHAnsi" w:hAnsiTheme="minorHAnsi" w:cstheme="minorHAnsi"/>
          <w:color w:val="000000" w:themeColor="text1"/>
        </w:rPr>
        <w:t>,</w:t>
      </w:r>
      <w:r w:rsidR="002E01B4" w:rsidRPr="00930FD8">
        <w:rPr>
          <w:rFonts w:asciiTheme="minorHAnsi" w:hAnsiTheme="minorHAnsi" w:cstheme="minorHAnsi"/>
          <w:color w:val="000000" w:themeColor="text1"/>
        </w:rPr>
        <w:t xml:space="preserve"> such voices </w:t>
      </w:r>
      <w:r w:rsidR="00BB311B" w:rsidRPr="00930FD8">
        <w:rPr>
          <w:rFonts w:asciiTheme="minorHAnsi" w:hAnsiTheme="minorHAnsi" w:cstheme="minorHAnsi"/>
          <w:color w:val="000000" w:themeColor="text1"/>
        </w:rPr>
        <w:t>can reasonably</w:t>
      </w:r>
      <w:r w:rsidR="002E01B4" w:rsidRPr="00930FD8">
        <w:rPr>
          <w:rFonts w:asciiTheme="minorHAnsi" w:hAnsiTheme="minorHAnsi" w:cstheme="minorHAnsi"/>
          <w:color w:val="000000" w:themeColor="text1"/>
        </w:rPr>
        <w:t xml:space="preserve"> find an audience in some </w:t>
      </w:r>
      <w:r w:rsidR="00D36226" w:rsidRPr="00930FD8">
        <w:rPr>
          <w:rFonts w:asciiTheme="minorHAnsi" w:hAnsiTheme="minorHAnsi" w:cstheme="minorHAnsi"/>
          <w:color w:val="000000" w:themeColor="text1"/>
        </w:rPr>
        <w:t>quarters of a</w:t>
      </w:r>
      <w:r w:rsidR="002E01B4" w:rsidRPr="00930FD8">
        <w:rPr>
          <w:rFonts w:asciiTheme="minorHAnsi" w:hAnsiTheme="minorHAnsi" w:cstheme="minorHAnsi"/>
          <w:color w:val="000000" w:themeColor="text1"/>
        </w:rPr>
        <w:t xml:space="preserve"> marginalized communit</w:t>
      </w:r>
      <w:r w:rsidR="00D36226" w:rsidRPr="00930FD8">
        <w:rPr>
          <w:rFonts w:asciiTheme="minorHAnsi" w:hAnsiTheme="minorHAnsi" w:cstheme="minorHAnsi"/>
          <w:color w:val="000000" w:themeColor="text1"/>
        </w:rPr>
        <w:t>y</w:t>
      </w:r>
      <w:r w:rsidR="002E01B4" w:rsidRPr="00930FD8">
        <w:rPr>
          <w:rFonts w:asciiTheme="minorHAnsi" w:hAnsiTheme="minorHAnsi" w:cstheme="minorHAnsi"/>
          <w:color w:val="000000" w:themeColor="text1"/>
        </w:rPr>
        <w:t xml:space="preserve">, and this is as true for </w:t>
      </w:r>
      <w:r w:rsidR="00D36226" w:rsidRPr="00930FD8">
        <w:rPr>
          <w:rFonts w:asciiTheme="minorHAnsi" w:hAnsiTheme="minorHAnsi" w:cstheme="minorHAnsi"/>
          <w:color w:val="000000" w:themeColor="text1"/>
        </w:rPr>
        <w:t>perceived</w:t>
      </w:r>
      <w:r w:rsidR="002E01B4" w:rsidRPr="00930FD8">
        <w:rPr>
          <w:rFonts w:asciiTheme="minorHAnsi" w:hAnsiTheme="minorHAnsi" w:cstheme="minorHAnsi"/>
          <w:color w:val="000000" w:themeColor="text1"/>
        </w:rPr>
        <w:t xml:space="preserve"> </w:t>
      </w:r>
      <w:r w:rsidR="00D36226" w:rsidRPr="00930FD8">
        <w:rPr>
          <w:rFonts w:asciiTheme="minorHAnsi" w:hAnsiTheme="minorHAnsi" w:cstheme="minorHAnsi"/>
          <w:color w:val="000000" w:themeColor="text1"/>
        </w:rPr>
        <w:t>out-groups</w:t>
      </w:r>
      <w:r w:rsidR="002E01B4" w:rsidRPr="00930FD8">
        <w:rPr>
          <w:rFonts w:asciiTheme="minorHAnsi" w:hAnsiTheme="minorHAnsi" w:cstheme="minorHAnsi"/>
          <w:color w:val="000000" w:themeColor="text1"/>
        </w:rPr>
        <w:t xml:space="preserve"> that might have roots outside a given state as it is for more established nativist </w:t>
      </w:r>
      <w:r w:rsidR="00D36226" w:rsidRPr="00930FD8">
        <w:rPr>
          <w:rFonts w:asciiTheme="minorHAnsi" w:hAnsiTheme="minorHAnsi" w:cstheme="minorHAnsi"/>
          <w:color w:val="000000" w:themeColor="text1"/>
        </w:rPr>
        <w:t xml:space="preserve">in-groups. Or, to put it another way, this is as true in Western nations for immigrant communities as it is for marginalized White ones. </w:t>
      </w:r>
      <w:r w:rsidR="003E10B0" w:rsidRPr="00930FD8">
        <w:rPr>
          <w:rFonts w:asciiTheme="minorHAnsi" w:hAnsiTheme="minorHAnsi" w:cstheme="minorHAnsi"/>
          <w:color w:val="000000" w:themeColor="text1"/>
        </w:rPr>
        <w:t xml:space="preserve">Seeking to </w:t>
      </w:r>
      <w:r w:rsidR="00543404" w:rsidRPr="00930FD8">
        <w:rPr>
          <w:rFonts w:asciiTheme="minorHAnsi" w:hAnsiTheme="minorHAnsi" w:cstheme="minorHAnsi"/>
          <w:color w:val="000000" w:themeColor="text1"/>
        </w:rPr>
        <w:t xml:space="preserve">engage with communities and civil society actors to </w:t>
      </w:r>
      <w:r w:rsidR="003E10B0" w:rsidRPr="00930FD8">
        <w:rPr>
          <w:rFonts w:asciiTheme="minorHAnsi" w:hAnsiTheme="minorHAnsi" w:cstheme="minorHAnsi"/>
          <w:color w:val="000000" w:themeColor="text1"/>
        </w:rPr>
        <w:t>address such inequalities is a societal good, whether or not it is a successful counter-terrorism strategy.</w:t>
      </w:r>
      <w:r w:rsidR="00D36226" w:rsidRPr="00930FD8">
        <w:rPr>
          <w:rFonts w:asciiTheme="minorHAnsi" w:hAnsiTheme="minorHAnsi" w:cstheme="minorHAnsi"/>
          <w:color w:val="000000" w:themeColor="text1"/>
        </w:rPr>
        <w:t xml:space="preserve"> </w:t>
      </w:r>
      <w:r w:rsidR="003E10B0" w:rsidRPr="00930FD8">
        <w:rPr>
          <w:rFonts w:asciiTheme="minorHAnsi" w:hAnsiTheme="minorHAnsi" w:cstheme="minorHAnsi"/>
          <w:color w:val="000000" w:themeColor="text1"/>
        </w:rPr>
        <w:t xml:space="preserve">The real challenge comes when you move from the macro to the micro level, and start to grapple with individual cases </w:t>
      </w:r>
      <w:r w:rsidR="001719F0" w:rsidRPr="00930FD8">
        <w:rPr>
          <w:rFonts w:asciiTheme="minorHAnsi" w:hAnsiTheme="minorHAnsi" w:cstheme="minorHAnsi"/>
          <w:color w:val="000000" w:themeColor="text1"/>
        </w:rPr>
        <w:t>seeking</w:t>
      </w:r>
      <w:r w:rsidR="003E10B0" w:rsidRPr="00930FD8">
        <w:rPr>
          <w:rFonts w:asciiTheme="minorHAnsi" w:hAnsiTheme="minorHAnsi" w:cstheme="minorHAnsi"/>
          <w:color w:val="000000" w:themeColor="text1"/>
        </w:rPr>
        <w:t xml:space="preserve"> to intervene directly and purposefully in people’s lives.</w:t>
      </w:r>
      <w:r w:rsidR="001719F0" w:rsidRPr="00930FD8">
        <w:rPr>
          <w:rFonts w:asciiTheme="minorHAnsi" w:hAnsiTheme="minorHAnsi" w:cstheme="minorHAnsi"/>
          <w:color w:val="000000" w:themeColor="text1"/>
        </w:rPr>
        <w:t xml:space="preserve"> </w:t>
      </w:r>
    </w:p>
    <w:p w14:paraId="28DFE548" w14:textId="77777777" w:rsidR="00386729" w:rsidRPr="00930FD8" w:rsidRDefault="00386729" w:rsidP="007E5C5D">
      <w:pPr>
        <w:jc w:val="both"/>
        <w:rPr>
          <w:rFonts w:asciiTheme="minorHAnsi" w:hAnsiTheme="minorHAnsi" w:cstheme="minorHAnsi"/>
          <w:color w:val="000000" w:themeColor="text1"/>
        </w:rPr>
      </w:pPr>
    </w:p>
    <w:p w14:paraId="5F9B627D" w14:textId="19230394" w:rsidR="00386729" w:rsidRPr="00930FD8" w:rsidRDefault="00386729" w:rsidP="007E5C5D">
      <w:pPr>
        <w:jc w:val="both"/>
        <w:rPr>
          <w:rFonts w:asciiTheme="minorHAnsi" w:hAnsiTheme="minorHAnsi" w:cstheme="minorHAnsi"/>
          <w:i/>
          <w:iCs/>
          <w:color w:val="000000" w:themeColor="text1"/>
        </w:rPr>
      </w:pPr>
      <w:r w:rsidRPr="00930FD8">
        <w:rPr>
          <w:rFonts w:asciiTheme="minorHAnsi" w:hAnsiTheme="minorHAnsi" w:cstheme="minorHAnsi"/>
          <w:i/>
          <w:iCs/>
          <w:color w:val="000000" w:themeColor="text1"/>
        </w:rPr>
        <w:t>The Social Science of Prevention</w:t>
      </w:r>
    </w:p>
    <w:p w14:paraId="6F4CF518" w14:textId="77777777" w:rsidR="00A22373" w:rsidRPr="00930FD8" w:rsidRDefault="00A22373" w:rsidP="007E5C5D">
      <w:pPr>
        <w:jc w:val="both"/>
        <w:rPr>
          <w:rFonts w:asciiTheme="minorHAnsi" w:hAnsiTheme="minorHAnsi" w:cstheme="minorHAnsi"/>
          <w:i/>
          <w:iCs/>
          <w:color w:val="000000" w:themeColor="text1"/>
        </w:rPr>
      </w:pPr>
    </w:p>
    <w:p w14:paraId="791F210A" w14:textId="6CF27A43" w:rsidR="0089679C" w:rsidRPr="00930FD8" w:rsidRDefault="00F96F40" w:rsidP="0089679C">
      <w:pPr>
        <w:jc w:val="both"/>
        <w:rPr>
          <w:rFonts w:asciiTheme="minorHAnsi" w:hAnsiTheme="minorHAnsi" w:cstheme="minorHAnsi"/>
          <w:color w:val="000000" w:themeColor="text1"/>
        </w:rPr>
      </w:pPr>
      <w:r w:rsidRPr="00930FD8">
        <w:rPr>
          <w:rFonts w:asciiTheme="minorHAnsi" w:hAnsiTheme="minorHAnsi" w:cstheme="minorHAnsi"/>
          <w:color w:val="000000" w:themeColor="text1"/>
        </w:rPr>
        <w:lastRenderedPageBreak/>
        <w:t>The literature on the causes and processes driving radicalization is constantly expanding</w:t>
      </w:r>
      <w:r w:rsidR="00BC2831" w:rsidRPr="00930FD8">
        <w:rPr>
          <w:rFonts w:asciiTheme="minorHAnsi" w:hAnsiTheme="minorHAnsi" w:cstheme="minorHAnsi"/>
          <w:color w:val="000000" w:themeColor="text1"/>
        </w:rPr>
        <w:t xml:space="preserve"> and </w:t>
      </w:r>
      <w:r w:rsidR="000041BF" w:rsidRPr="00930FD8">
        <w:rPr>
          <w:rFonts w:asciiTheme="minorHAnsi" w:hAnsiTheme="minorHAnsi" w:cstheme="minorHAnsi"/>
          <w:color w:val="000000" w:themeColor="text1"/>
        </w:rPr>
        <w:t xml:space="preserve">it is </w:t>
      </w:r>
      <w:r w:rsidR="00BC2831" w:rsidRPr="00930FD8">
        <w:rPr>
          <w:rFonts w:asciiTheme="minorHAnsi" w:hAnsiTheme="minorHAnsi" w:cstheme="minorHAnsi"/>
          <w:color w:val="000000" w:themeColor="text1"/>
        </w:rPr>
        <w:t xml:space="preserve">increasingly hard for practitioners to </w:t>
      </w:r>
      <w:r w:rsidR="000041BF" w:rsidRPr="00930FD8">
        <w:rPr>
          <w:rFonts w:asciiTheme="minorHAnsi" w:hAnsiTheme="minorHAnsi" w:cstheme="minorHAnsi"/>
          <w:color w:val="000000" w:themeColor="text1"/>
        </w:rPr>
        <w:t>keep up</w:t>
      </w:r>
      <w:r w:rsidR="00BC2831" w:rsidRPr="00930FD8">
        <w:rPr>
          <w:rFonts w:asciiTheme="minorHAnsi" w:hAnsiTheme="minorHAnsi" w:cstheme="minorHAnsi"/>
          <w:color w:val="000000" w:themeColor="text1"/>
        </w:rPr>
        <w:t xml:space="preserve">. </w:t>
      </w:r>
      <w:r w:rsidR="000041BF" w:rsidRPr="00930FD8">
        <w:rPr>
          <w:rFonts w:asciiTheme="minorHAnsi" w:hAnsiTheme="minorHAnsi" w:cstheme="minorHAnsi"/>
          <w:color w:val="000000" w:themeColor="text1"/>
        </w:rPr>
        <w:t>T</w:t>
      </w:r>
      <w:r w:rsidRPr="00930FD8">
        <w:rPr>
          <w:rFonts w:asciiTheme="minorHAnsi" w:hAnsiTheme="minorHAnsi" w:cstheme="minorHAnsi"/>
          <w:color w:val="000000" w:themeColor="text1"/>
        </w:rPr>
        <w:t xml:space="preserve">here are many persuasive and </w:t>
      </w:r>
      <w:r w:rsidR="000041BF" w:rsidRPr="00930FD8">
        <w:rPr>
          <w:rFonts w:asciiTheme="minorHAnsi" w:hAnsiTheme="minorHAnsi" w:cstheme="minorHAnsi"/>
          <w:color w:val="000000" w:themeColor="text1"/>
        </w:rPr>
        <w:t xml:space="preserve">broadly </w:t>
      </w:r>
      <w:r w:rsidRPr="00930FD8">
        <w:rPr>
          <w:rFonts w:asciiTheme="minorHAnsi" w:hAnsiTheme="minorHAnsi" w:cstheme="minorHAnsi"/>
          <w:color w:val="000000" w:themeColor="text1"/>
        </w:rPr>
        <w:t xml:space="preserve">compatible theories that have </w:t>
      </w:r>
      <w:r w:rsidR="000041BF" w:rsidRPr="00930FD8">
        <w:rPr>
          <w:rFonts w:asciiTheme="minorHAnsi" w:hAnsiTheme="minorHAnsi" w:cstheme="minorHAnsi"/>
          <w:color w:val="000000" w:themeColor="text1"/>
        </w:rPr>
        <w:t>contributed to</w:t>
      </w:r>
      <w:r w:rsidRPr="00930FD8">
        <w:rPr>
          <w:rFonts w:asciiTheme="minorHAnsi" w:hAnsiTheme="minorHAnsi" w:cstheme="minorHAnsi"/>
          <w:color w:val="000000" w:themeColor="text1"/>
        </w:rPr>
        <w:t xml:space="preserve"> different PVE programs around the world.</w:t>
      </w:r>
      <w:r w:rsidR="000041BF" w:rsidRPr="00930FD8">
        <w:rPr>
          <w:rFonts w:asciiTheme="minorHAnsi" w:hAnsiTheme="minorHAnsi" w:cstheme="minorHAnsi"/>
          <w:color w:val="000000" w:themeColor="text1"/>
        </w:rPr>
        <w:t xml:space="preserve"> </w:t>
      </w:r>
      <w:r w:rsidRPr="00930FD8">
        <w:rPr>
          <w:rFonts w:asciiTheme="minorHAnsi" w:hAnsiTheme="minorHAnsi" w:cstheme="minorHAnsi"/>
          <w:color w:val="000000" w:themeColor="text1"/>
        </w:rPr>
        <w:t xml:space="preserve"> </w:t>
      </w:r>
      <w:r w:rsidR="00BC2831" w:rsidRPr="00930FD8">
        <w:rPr>
          <w:rFonts w:asciiTheme="minorHAnsi" w:hAnsiTheme="minorHAnsi" w:cstheme="minorHAnsi"/>
          <w:color w:val="231F20"/>
        </w:rPr>
        <w:t xml:space="preserve">An influential 2011 </w:t>
      </w:r>
      <w:r w:rsidR="00BC2831" w:rsidRPr="00930FD8">
        <w:rPr>
          <w:rFonts w:asciiTheme="minorHAnsi" w:hAnsiTheme="minorHAnsi" w:cstheme="minorHAnsi"/>
          <w:color w:val="231F20"/>
          <w:spacing w:val="-3"/>
        </w:rPr>
        <w:t xml:space="preserve">study by </w:t>
      </w:r>
      <w:r w:rsidR="00BC2831" w:rsidRPr="00930FD8">
        <w:rPr>
          <w:rFonts w:asciiTheme="minorHAnsi" w:hAnsiTheme="minorHAnsi" w:cstheme="minorHAnsi"/>
          <w:color w:val="231F20"/>
        </w:rPr>
        <w:t xml:space="preserve">the United States Agency </w:t>
      </w:r>
      <w:r w:rsidR="00BC2831" w:rsidRPr="00930FD8">
        <w:rPr>
          <w:rFonts w:asciiTheme="minorHAnsi" w:hAnsiTheme="minorHAnsi" w:cstheme="minorHAnsi"/>
          <w:color w:val="231F20"/>
          <w:spacing w:val="-5"/>
        </w:rPr>
        <w:t xml:space="preserve">for </w:t>
      </w:r>
      <w:r w:rsidR="00BC2831" w:rsidRPr="00930FD8">
        <w:rPr>
          <w:rFonts w:asciiTheme="minorHAnsi" w:hAnsiTheme="minorHAnsi" w:cstheme="minorHAnsi"/>
          <w:color w:val="231F20"/>
        </w:rPr>
        <w:t xml:space="preserve">International Development (USAID) suggested a binary classification system for the drivers of radicalization, which it divided </w:t>
      </w:r>
      <w:r w:rsidR="00BC2831" w:rsidRPr="00930FD8">
        <w:rPr>
          <w:rFonts w:asciiTheme="minorHAnsi" w:hAnsiTheme="minorHAnsi" w:cstheme="minorHAnsi"/>
          <w:color w:val="231F20"/>
          <w:spacing w:val="-4"/>
        </w:rPr>
        <w:t xml:space="preserve">into </w:t>
      </w:r>
      <w:r w:rsidR="00BC2831" w:rsidRPr="00930FD8">
        <w:rPr>
          <w:rFonts w:asciiTheme="minorHAnsi" w:hAnsiTheme="minorHAnsi" w:cstheme="minorHAnsi"/>
          <w:color w:val="231F20"/>
        </w:rPr>
        <w:t>“Push and Pull factors”</w:t>
      </w:r>
      <w:r w:rsidR="00BC2831" w:rsidRPr="00930FD8">
        <w:rPr>
          <w:rStyle w:val="FootnoteReference"/>
          <w:rFonts w:asciiTheme="minorHAnsi" w:hAnsiTheme="minorHAnsi" w:cstheme="minorHAnsi"/>
          <w:color w:val="231F20"/>
        </w:rPr>
        <w:footnoteReference w:id="6"/>
      </w:r>
      <w:r w:rsidR="00BC2831" w:rsidRPr="00930FD8">
        <w:rPr>
          <w:rFonts w:asciiTheme="minorHAnsi" w:hAnsiTheme="minorHAnsi" w:cstheme="minorHAnsi"/>
          <w:color w:val="231F20"/>
          <w:position w:val="8"/>
          <w:sz w:val="15"/>
          <w:szCs w:val="15"/>
        </w:rPr>
        <w:t xml:space="preserve"> </w:t>
      </w:r>
      <w:r w:rsidR="00BC2831" w:rsidRPr="00930FD8">
        <w:rPr>
          <w:rFonts w:asciiTheme="minorHAnsi" w:hAnsiTheme="minorHAnsi" w:cstheme="minorHAnsi"/>
          <w:color w:val="231F20"/>
        </w:rPr>
        <w:t>The Royal United Services</w:t>
      </w:r>
      <w:r w:rsidR="00BC2831" w:rsidRPr="00930FD8">
        <w:rPr>
          <w:rFonts w:asciiTheme="minorHAnsi" w:hAnsiTheme="minorHAnsi" w:cstheme="minorHAnsi"/>
          <w:color w:val="231F20"/>
          <w:spacing w:val="-12"/>
        </w:rPr>
        <w:t xml:space="preserve"> </w:t>
      </w:r>
      <w:r w:rsidR="00BC2831" w:rsidRPr="00930FD8">
        <w:rPr>
          <w:rFonts w:asciiTheme="minorHAnsi" w:hAnsiTheme="minorHAnsi" w:cstheme="minorHAnsi"/>
          <w:color w:val="231F20"/>
        </w:rPr>
        <w:t>Institute</w:t>
      </w:r>
      <w:r w:rsidR="00BC2831" w:rsidRPr="00930FD8">
        <w:rPr>
          <w:rFonts w:asciiTheme="minorHAnsi" w:hAnsiTheme="minorHAnsi" w:cstheme="minorHAnsi"/>
          <w:color w:val="231F20"/>
          <w:spacing w:val="-11"/>
        </w:rPr>
        <w:t xml:space="preserve"> </w:t>
      </w:r>
      <w:r w:rsidR="00BC2831" w:rsidRPr="00930FD8">
        <w:rPr>
          <w:rFonts w:asciiTheme="minorHAnsi" w:hAnsiTheme="minorHAnsi" w:cstheme="minorHAnsi"/>
          <w:color w:val="231F20"/>
        </w:rPr>
        <w:t>(RUSI)</w:t>
      </w:r>
      <w:r w:rsidR="00BC2831" w:rsidRPr="00930FD8">
        <w:rPr>
          <w:rFonts w:asciiTheme="minorHAnsi" w:hAnsiTheme="minorHAnsi" w:cstheme="minorHAnsi"/>
          <w:color w:val="231F20"/>
          <w:spacing w:val="-12"/>
        </w:rPr>
        <w:t xml:space="preserve"> </w:t>
      </w:r>
      <w:r w:rsidR="00BC2831" w:rsidRPr="00930FD8">
        <w:rPr>
          <w:rFonts w:asciiTheme="minorHAnsi" w:hAnsiTheme="minorHAnsi" w:cstheme="minorHAnsi"/>
          <w:color w:val="231F20"/>
        </w:rPr>
        <w:t>in</w:t>
      </w:r>
      <w:r w:rsidR="00BC2831" w:rsidRPr="00930FD8">
        <w:rPr>
          <w:rFonts w:asciiTheme="minorHAnsi" w:hAnsiTheme="minorHAnsi" w:cstheme="minorHAnsi"/>
          <w:color w:val="231F20"/>
          <w:spacing w:val="-11"/>
        </w:rPr>
        <w:t xml:space="preserve"> </w:t>
      </w:r>
      <w:r w:rsidR="00BC2831" w:rsidRPr="00930FD8">
        <w:rPr>
          <w:rFonts w:asciiTheme="minorHAnsi" w:hAnsiTheme="minorHAnsi" w:cstheme="minorHAnsi"/>
          <w:color w:val="231F20"/>
        </w:rPr>
        <w:t>the</w:t>
      </w:r>
      <w:r w:rsidR="00BC2831" w:rsidRPr="00930FD8">
        <w:rPr>
          <w:rFonts w:asciiTheme="minorHAnsi" w:hAnsiTheme="minorHAnsi" w:cstheme="minorHAnsi"/>
          <w:color w:val="231F20"/>
          <w:spacing w:val="-12"/>
        </w:rPr>
        <w:t xml:space="preserve"> </w:t>
      </w:r>
      <w:r w:rsidR="00BC2831" w:rsidRPr="00930FD8">
        <w:rPr>
          <w:rFonts w:asciiTheme="minorHAnsi" w:hAnsiTheme="minorHAnsi" w:cstheme="minorHAnsi"/>
          <w:color w:val="231F20"/>
        </w:rPr>
        <w:t>United</w:t>
      </w:r>
      <w:r w:rsidR="00BC2831" w:rsidRPr="00930FD8">
        <w:rPr>
          <w:rFonts w:asciiTheme="minorHAnsi" w:hAnsiTheme="minorHAnsi" w:cstheme="minorHAnsi"/>
          <w:color w:val="231F20"/>
          <w:spacing w:val="-11"/>
        </w:rPr>
        <w:t xml:space="preserve"> </w:t>
      </w:r>
      <w:r w:rsidR="00BC2831" w:rsidRPr="00930FD8">
        <w:rPr>
          <w:rFonts w:asciiTheme="minorHAnsi" w:hAnsiTheme="minorHAnsi" w:cstheme="minorHAnsi"/>
          <w:color w:val="231F20"/>
        </w:rPr>
        <w:t>Kingdom</w:t>
      </w:r>
      <w:r w:rsidR="00BC2831" w:rsidRPr="00930FD8">
        <w:rPr>
          <w:rFonts w:asciiTheme="minorHAnsi" w:hAnsiTheme="minorHAnsi" w:cstheme="minorHAnsi"/>
          <w:color w:val="231F20"/>
          <w:spacing w:val="-12"/>
        </w:rPr>
        <w:t xml:space="preserve"> </w:t>
      </w:r>
      <w:r w:rsidR="00BC2831" w:rsidRPr="00930FD8">
        <w:rPr>
          <w:rFonts w:asciiTheme="minorHAnsi" w:hAnsiTheme="minorHAnsi" w:cstheme="minorHAnsi"/>
          <w:color w:val="231F20"/>
        </w:rPr>
        <w:t>expanded</w:t>
      </w:r>
      <w:r w:rsidR="00BC2831" w:rsidRPr="00930FD8">
        <w:rPr>
          <w:rFonts w:asciiTheme="minorHAnsi" w:hAnsiTheme="minorHAnsi" w:cstheme="minorHAnsi"/>
          <w:color w:val="231F20"/>
          <w:spacing w:val="-11"/>
        </w:rPr>
        <w:t xml:space="preserve"> </w:t>
      </w:r>
      <w:r w:rsidR="00BC2831" w:rsidRPr="00930FD8">
        <w:rPr>
          <w:rFonts w:asciiTheme="minorHAnsi" w:hAnsiTheme="minorHAnsi" w:cstheme="minorHAnsi"/>
          <w:color w:val="231F20"/>
        </w:rPr>
        <w:t>USAID’s typology</w:t>
      </w:r>
      <w:r w:rsidR="00BC2831" w:rsidRPr="00930FD8">
        <w:rPr>
          <w:rFonts w:asciiTheme="minorHAnsi" w:hAnsiTheme="minorHAnsi" w:cstheme="minorHAnsi"/>
          <w:color w:val="231F20"/>
          <w:spacing w:val="32"/>
        </w:rPr>
        <w:t xml:space="preserve"> </w:t>
      </w:r>
      <w:r w:rsidR="00BC2831" w:rsidRPr="00930FD8">
        <w:rPr>
          <w:rFonts w:asciiTheme="minorHAnsi" w:hAnsiTheme="minorHAnsi" w:cstheme="minorHAnsi"/>
          <w:color w:val="231F20"/>
        </w:rPr>
        <w:t>to</w:t>
      </w:r>
      <w:r w:rsidR="00BC2831" w:rsidRPr="00930FD8">
        <w:rPr>
          <w:rFonts w:asciiTheme="minorHAnsi" w:hAnsiTheme="minorHAnsi" w:cstheme="minorHAnsi"/>
          <w:color w:val="231F20"/>
          <w:spacing w:val="32"/>
        </w:rPr>
        <w:t xml:space="preserve"> </w:t>
      </w:r>
      <w:r w:rsidR="00BC2831" w:rsidRPr="00930FD8">
        <w:rPr>
          <w:rFonts w:asciiTheme="minorHAnsi" w:hAnsiTheme="minorHAnsi" w:cstheme="minorHAnsi"/>
          <w:color w:val="231F20"/>
        </w:rPr>
        <w:t>suggest</w:t>
      </w:r>
      <w:r w:rsidR="00BC2831" w:rsidRPr="00930FD8">
        <w:rPr>
          <w:rFonts w:asciiTheme="minorHAnsi" w:hAnsiTheme="minorHAnsi" w:cstheme="minorHAnsi"/>
          <w:color w:val="231F20"/>
          <w:spacing w:val="32"/>
        </w:rPr>
        <w:t xml:space="preserve"> </w:t>
      </w:r>
      <w:r w:rsidR="00BC2831" w:rsidRPr="00930FD8">
        <w:rPr>
          <w:rFonts w:asciiTheme="minorHAnsi" w:hAnsiTheme="minorHAnsi" w:cstheme="minorHAnsi"/>
          <w:color w:val="231F20"/>
        </w:rPr>
        <w:t>three</w:t>
      </w:r>
      <w:r w:rsidR="00BC2831" w:rsidRPr="00930FD8">
        <w:rPr>
          <w:rFonts w:asciiTheme="minorHAnsi" w:hAnsiTheme="minorHAnsi" w:cstheme="minorHAnsi"/>
          <w:color w:val="231F20"/>
          <w:spacing w:val="32"/>
        </w:rPr>
        <w:t xml:space="preserve"> </w:t>
      </w:r>
      <w:r w:rsidR="00BC2831" w:rsidRPr="00930FD8">
        <w:rPr>
          <w:rFonts w:asciiTheme="minorHAnsi" w:hAnsiTheme="minorHAnsi" w:cstheme="minorHAnsi"/>
          <w:color w:val="231F20"/>
        </w:rPr>
        <w:t>levels</w:t>
      </w:r>
      <w:r w:rsidR="00BC2831" w:rsidRPr="00930FD8">
        <w:rPr>
          <w:rFonts w:asciiTheme="minorHAnsi" w:hAnsiTheme="minorHAnsi" w:cstheme="minorHAnsi"/>
          <w:color w:val="231F20"/>
          <w:spacing w:val="32"/>
        </w:rPr>
        <w:t xml:space="preserve"> </w:t>
      </w:r>
      <w:r w:rsidR="00BC2831" w:rsidRPr="00930FD8">
        <w:rPr>
          <w:rFonts w:asciiTheme="minorHAnsi" w:hAnsiTheme="minorHAnsi" w:cstheme="minorHAnsi"/>
          <w:color w:val="231F20"/>
        </w:rPr>
        <w:t>of</w:t>
      </w:r>
      <w:r w:rsidR="00BC2831" w:rsidRPr="00930FD8">
        <w:rPr>
          <w:rFonts w:asciiTheme="minorHAnsi" w:hAnsiTheme="minorHAnsi" w:cstheme="minorHAnsi"/>
          <w:color w:val="231F20"/>
          <w:spacing w:val="32"/>
        </w:rPr>
        <w:t xml:space="preserve"> </w:t>
      </w:r>
      <w:r w:rsidR="00BC2831" w:rsidRPr="00930FD8">
        <w:rPr>
          <w:rFonts w:asciiTheme="minorHAnsi" w:hAnsiTheme="minorHAnsi" w:cstheme="minorHAnsi"/>
          <w:color w:val="231F20"/>
        </w:rPr>
        <w:t>analysis:</w:t>
      </w:r>
      <w:r w:rsidR="00BC2831" w:rsidRPr="00930FD8">
        <w:rPr>
          <w:rFonts w:asciiTheme="minorHAnsi" w:hAnsiTheme="minorHAnsi" w:cstheme="minorHAnsi"/>
          <w:color w:val="231F20"/>
          <w:spacing w:val="32"/>
        </w:rPr>
        <w:t xml:space="preserve"> </w:t>
      </w:r>
      <w:r w:rsidR="00BC2831" w:rsidRPr="00930FD8">
        <w:rPr>
          <w:rFonts w:asciiTheme="minorHAnsi" w:hAnsiTheme="minorHAnsi" w:cstheme="minorHAnsi"/>
          <w:color w:val="231F20"/>
        </w:rPr>
        <w:t>structural</w:t>
      </w:r>
      <w:r w:rsidR="00BC2831" w:rsidRPr="00930FD8">
        <w:rPr>
          <w:rFonts w:asciiTheme="minorHAnsi" w:hAnsiTheme="minorHAnsi" w:cstheme="minorHAnsi"/>
          <w:color w:val="231F20"/>
          <w:spacing w:val="32"/>
        </w:rPr>
        <w:t xml:space="preserve"> </w:t>
      </w:r>
      <w:r w:rsidR="00BC2831" w:rsidRPr="00930FD8">
        <w:rPr>
          <w:rFonts w:asciiTheme="minorHAnsi" w:hAnsiTheme="minorHAnsi" w:cstheme="minorHAnsi"/>
          <w:color w:val="231F20"/>
          <w:spacing w:val="-2"/>
        </w:rPr>
        <w:t>motivations,</w:t>
      </w:r>
      <w:r w:rsidR="0089679C" w:rsidRPr="00930FD8">
        <w:rPr>
          <w:rFonts w:asciiTheme="minorHAnsi" w:hAnsiTheme="minorHAnsi" w:cstheme="minorHAnsi"/>
          <w:color w:val="231F20"/>
          <w:spacing w:val="-2"/>
        </w:rPr>
        <w:t xml:space="preserve"> </w:t>
      </w:r>
      <w:r w:rsidR="0089679C" w:rsidRPr="00930FD8">
        <w:rPr>
          <w:rFonts w:asciiTheme="minorHAnsi" w:hAnsiTheme="minorHAnsi" w:cstheme="minorHAnsi"/>
          <w:color w:val="231F20"/>
        </w:rPr>
        <w:t>individual incentives, and enabling factors.</w:t>
      </w:r>
      <w:r w:rsidR="0089679C" w:rsidRPr="00930FD8">
        <w:rPr>
          <w:rStyle w:val="FootnoteReference"/>
          <w:rFonts w:asciiTheme="minorHAnsi" w:hAnsiTheme="minorHAnsi" w:cstheme="minorHAnsi"/>
          <w:color w:val="231F20"/>
        </w:rPr>
        <w:footnoteReference w:id="7"/>
      </w:r>
      <w:r w:rsidR="0089679C" w:rsidRPr="00930FD8">
        <w:rPr>
          <w:rFonts w:asciiTheme="minorHAnsi" w:hAnsiTheme="minorHAnsi" w:cstheme="minorHAnsi"/>
          <w:color w:val="231F20"/>
          <w:position w:val="8"/>
          <w:sz w:val="15"/>
          <w:szCs w:val="15"/>
        </w:rPr>
        <w:t xml:space="preserve"> </w:t>
      </w:r>
      <w:r w:rsidR="0089679C" w:rsidRPr="00930FD8">
        <w:rPr>
          <w:rFonts w:asciiTheme="minorHAnsi" w:hAnsiTheme="minorHAnsi" w:cstheme="minorHAnsi"/>
          <w:color w:val="231F20"/>
        </w:rPr>
        <w:t xml:space="preserve">Other theories that have attracted particular attention </w:t>
      </w:r>
      <w:r w:rsidR="00EC61D8" w:rsidRPr="00930FD8">
        <w:rPr>
          <w:rFonts w:asciiTheme="minorHAnsi" w:hAnsiTheme="minorHAnsi" w:cstheme="minorHAnsi"/>
          <w:color w:val="231F20"/>
        </w:rPr>
        <w:t>since the September 11</w:t>
      </w:r>
      <w:r w:rsidR="00EC61D8" w:rsidRPr="00930FD8">
        <w:rPr>
          <w:rFonts w:asciiTheme="minorHAnsi" w:hAnsiTheme="minorHAnsi" w:cstheme="minorHAnsi"/>
          <w:color w:val="231F20"/>
          <w:vertAlign w:val="superscript"/>
        </w:rPr>
        <w:t>th</w:t>
      </w:r>
      <w:r w:rsidR="00EC61D8" w:rsidRPr="00930FD8">
        <w:rPr>
          <w:rFonts w:asciiTheme="minorHAnsi" w:hAnsiTheme="minorHAnsi" w:cstheme="minorHAnsi"/>
          <w:color w:val="231F20"/>
        </w:rPr>
        <w:t xml:space="preserve"> attacks </w:t>
      </w:r>
      <w:r w:rsidR="0089679C" w:rsidRPr="00930FD8">
        <w:rPr>
          <w:rFonts w:asciiTheme="minorHAnsi" w:hAnsiTheme="minorHAnsi" w:cstheme="minorHAnsi"/>
          <w:color w:val="231F20"/>
        </w:rPr>
        <w:t xml:space="preserve">include </w:t>
      </w:r>
      <w:proofErr w:type="spellStart"/>
      <w:r w:rsidR="0089679C" w:rsidRPr="00930FD8">
        <w:rPr>
          <w:rFonts w:asciiTheme="minorHAnsi" w:hAnsiTheme="minorHAnsi" w:cstheme="minorHAnsi"/>
          <w:color w:val="231F20"/>
        </w:rPr>
        <w:t>Fathali</w:t>
      </w:r>
      <w:proofErr w:type="spellEnd"/>
      <w:r w:rsidR="0089679C" w:rsidRPr="00930FD8">
        <w:rPr>
          <w:rFonts w:asciiTheme="minorHAnsi" w:hAnsiTheme="minorHAnsi" w:cstheme="minorHAnsi"/>
          <w:color w:val="231F20"/>
        </w:rPr>
        <w:t xml:space="preserve"> Moghaddam’s “staircase to terrorism” which conceptualizes radicalization as a series of narrowing choices,</w:t>
      </w:r>
      <w:r w:rsidR="00BA6E22" w:rsidRPr="00930FD8">
        <w:rPr>
          <w:rStyle w:val="FootnoteReference"/>
          <w:rFonts w:asciiTheme="minorHAnsi" w:hAnsiTheme="minorHAnsi" w:cstheme="minorHAnsi"/>
          <w:color w:val="231F20"/>
        </w:rPr>
        <w:footnoteReference w:id="8"/>
      </w:r>
      <w:r w:rsidR="0089679C" w:rsidRPr="00930FD8">
        <w:rPr>
          <w:rFonts w:asciiTheme="minorHAnsi" w:hAnsiTheme="minorHAnsi" w:cstheme="minorHAnsi"/>
          <w:color w:val="231F20"/>
          <w:position w:val="8"/>
          <w:sz w:val="15"/>
          <w:szCs w:val="15"/>
        </w:rPr>
        <w:t xml:space="preserve"> </w:t>
      </w:r>
      <w:r w:rsidR="0089679C" w:rsidRPr="00930FD8">
        <w:rPr>
          <w:rFonts w:asciiTheme="minorHAnsi" w:hAnsiTheme="minorHAnsi" w:cstheme="minorHAnsi"/>
          <w:color w:val="231F20"/>
          <w:spacing w:val="2"/>
        </w:rPr>
        <w:t>t</w:t>
      </w:r>
      <w:r w:rsidR="00087D47" w:rsidRPr="00930FD8">
        <w:rPr>
          <w:rFonts w:asciiTheme="minorHAnsi" w:hAnsiTheme="minorHAnsi" w:cstheme="minorHAnsi"/>
          <w:color w:val="231F20"/>
          <w:spacing w:val="2"/>
        </w:rPr>
        <w:t>he four stage model</w:t>
      </w:r>
      <w:r w:rsidR="00EC61D8" w:rsidRPr="00930FD8">
        <w:rPr>
          <w:rFonts w:asciiTheme="minorHAnsi" w:hAnsiTheme="minorHAnsi" w:cstheme="minorHAnsi"/>
          <w:color w:val="231F20"/>
          <w:spacing w:val="2"/>
        </w:rPr>
        <w:t xml:space="preserve"> developed by Mitchell D. Silber and Arvin Bhatt for the New York Police Department (NYPD)</w:t>
      </w:r>
      <w:r w:rsidR="00087D47" w:rsidRPr="00930FD8">
        <w:rPr>
          <w:rFonts w:asciiTheme="minorHAnsi" w:hAnsiTheme="minorHAnsi" w:cstheme="minorHAnsi"/>
          <w:color w:val="231F20"/>
          <w:spacing w:val="2"/>
        </w:rPr>
        <w:t>,</w:t>
      </w:r>
      <w:r w:rsidR="00087D47" w:rsidRPr="00930FD8">
        <w:rPr>
          <w:rStyle w:val="FootnoteReference"/>
          <w:rFonts w:asciiTheme="minorHAnsi" w:hAnsiTheme="minorHAnsi" w:cstheme="minorHAnsi"/>
          <w:color w:val="231F20"/>
          <w:spacing w:val="2"/>
        </w:rPr>
        <w:footnoteReference w:id="9"/>
      </w:r>
      <w:r w:rsidR="00087D47" w:rsidRPr="00930FD8">
        <w:rPr>
          <w:rFonts w:asciiTheme="minorHAnsi" w:hAnsiTheme="minorHAnsi" w:cstheme="minorHAnsi"/>
          <w:color w:val="231F20"/>
          <w:spacing w:val="2"/>
        </w:rPr>
        <w:t xml:space="preserve"> t</w:t>
      </w:r>
      <w:r w:rsidR="0089679C" w:rsidRPr="00930FD8">
        <w:rPr>
          <w:rFonts w:asciiTheme="minorHAnsi" w:hAnsiTheme="minorHAnsi" w:cstheme="minorHAnsi"/>
          <w:color w:val="231F20"/>
          <w:spacing w:val="2"/>
        </w:rPr>
        <w:t xml:space="preserve">he </w:t>
      </w:r>
      <w:r w:rsidR="00EC61D8" w:rsidRPr="00930FD8">
        <w:rPr>
          <w:rFonts w:asciiTheme="minorHAnsi" w:hAnsiTheme="minorHAnsi" w:cstheme="minorHAnsi"/>
          <w:color w:val="231F20"/>
          <w:spacing w:val="2"/>
        </w:rPr>
        <w:t>“</w:t>
      </w:r>
      <w:r w:rsidR="0089679C" w:rsidRPr="00930FD8">
        <w:rPr>
          <w:rFonts w:asciiTheme="minorHAnsi" w:hAnsiTheme="minorHAnsi" w:cstheme="minorHAnsi"/>
          <w:color w:val="231F20"/>
        </w:rPr>
        <w:t xml:space="preserve">pyramid model of radicalization” developed by the Association of Chief Police Officers (ACPO) as part of </w:t>
      </w:r>
      <w:r w:rsidR="0089679C" w:rsidRPr="00930FD8">
        <w:rPr>
          <w:rFonts w:asciiTheme="minorHAnsi" w:hAnsiTheme="minorHAnsi" w:cstheme="minorHAnsi"/>
          <w:color w:val="231F20"/>
          <w:spacing w:val="2"/>
        </w:rPr>
        <w:t xml:space="preserve">the </w:t>
      </w:r>
      <w:r w:rsidR="0089679C" w:rsidRPr="00930FD8">
        <w:rPr>
          <w:rFonts w:asciiTheme="minorHAnsi" w:hAnsiTheme="minorHAnsi" w:cstheme="minorHAnsi"/>
          <w:color w:val="231F20"/>
        </w:rPr>
        <w:t>United Kingdom’s Prevent strategy,</w:t>
      </w:r>
      <w:r w:rsidR="00BA6E22" w:rsidRPr="00930FD8">
        <w:rPr>
          <w:rStyle w:val="FootnoteReference"/>
          <w:rFonts w:asciiTheme="minorHAnsi" w:hAnsiTheme="minorHAnsi" w:cstheme="minorHAnsi"/>
          <w:color w:val="231F20"/>
        </w:rPr>
        <w:footnoteReference w:id="10"/>
      </w:r>
      <w:r w:rsidR="0089679C" w:rsidRPr="00930FD8">
        <w:rPr>
          <w:rFonts w:asciiTheme="minorHAnsi" w:hAnsiTheme="minorHAnsi" w:cstheme="minorHAnsi"/>
          <w:color w:val="231F20"/>
          <w:position w:val="8"/>
          <w:sz w:val="15"/>
          <w:szCs w:val="15"/>
        </w:rPr>
        <w:t xml:space="preserve"> </w:t>
      </w:r>
      <w:r w:rsidR="0089679C" w:rsidRPr="00930FD8">
        <w:rPr>
          <w:rFonts w:asciiTheme="minorHAnsi" w:hAnsiTheme="minorHAnsi" w:cstheme="minorHAnsi"/>
          <w:color w:val="231F20"/>
        </w:rPr>
        <w:t xml:space="preserve">and Clark McCauley </w:t>
      </w:r>
      <w:r w:rsidR="0089679C" w:rsidRPr="00930FD8">
        <w:rPr>
          <w:rFonts w:asciiTheme="minorHAnsi" w:hAnsiTheme="minorHAnsi" w:cstheme="minorHAnsi"/>
          <w:color w:val="231F20"/>
          <w:spacing w:val="2"/>
        </w:rPr>
        <w:t xml:space="preserve">and </w:t>
      </w:r>
      <w:r w:rsidR="0089679C" w:rsidRPr="00930FD8">
        <w:rPr>
          <w:rFonts w:asciiTheme="minorHAnsi" w:hAnsiTheme="minorHAnsi" w:cstheme="minorHAnsi"/>
          <w:color w:val="231F20"/>
        </w:rPr>
        <w:t>Sophia Moskalenko’s “twelve mechanisms of political radicalization”, which posits twelve dimensions of radicalization operating at the individual, group, and societal</w:t>
      </w:r>
      <w:r w:rsidR="0089679C" w:rsidRPr="00930FD8">
        <w:rPr>
          <w:rFonts w:asciiTheme="minorHAnsi" w:hAnsiTheme="minorHAnsi" w:cstheme="minorHAnsi"/>
          <w:color w:val="231F20"/>
          <w:spacing w:val="1"/>
        </w:rPr>
        <w:t xml:space="preserve"> </w:t>
      </w:r>
      <w:r w:rsidR="0089679C" w:rsidRPr="00930FD8">
        <w:rPr>
          <w:rFonts w:asciiTheme="minorHAnsi" w:hAnsiTheme="minorHAnsi" w:cstheme="minorHAnsi"/>
          <w:color w:val="231F20"/>
        </w:rPr>
        <w:t>levels.</w:t>
      </w:r>
      <w:r w:rsidR="00BA6E22" w:rsidRPr="00930FD8">
        <w:rPr>
          <w:rStyle w:val="FootnoteReference"/>
          <w:rFonts w:asciiTheme="minorHAnsi" w:hAnsiTheme="minorHAnsi" w:cstheme="minorHAnsi"/>
          <w:color w:val="231F20"/>
        </w:rPr>
        <w:footnoteReference w:id="11"/>
      </w:r>
      <w:r w:rsidR="00186255" w:rsidRPr="00930FD8">
        <w:rPr>
          <w:rFonts w:asciiTheme="minorHAnsi" w:hAnsiTheme="minorHAnsi" w:cstheme="minorHAnsi"/>
          <w:color w:val="231F20"/>
        </w:rPr>
        <w:t xml:space="preserve"> </w:t>
      </w:r>
      <w:r w:rsidR="00B52DBA" w:rsidRPr="00930FD8">
        <w:rPr>
          <w:rFonts w:asciiTheme="minorHAnsi" w:hAnsiTheme="minorHAnsi" w:cstheme="minorHAnsi"/>
          <w:color w:val="231F20"/>
        </w:rPr>
        <w:t>Most</w:t>
      </w:r>
      <w:r w:rsidR="004C4926" w:rsidRPr="00930FD8">
        <w:rPr>
          <w:rFonts w:asciiTheme="minorHAnsi" w:hAnsiTheme="minorHAnsi" w:cstheme="minorHAnsi"/>
          <w:color w:val="231F20"/>
        </w:rPr>
        <w:t xml:space="preserve"> of these models </w:t>
      </w:r>
      <w:r w:rsidR="00B52DBA" w:rsidRPr="00930FD8">
        <w:rPr>
          <w:rFonts w:asciiTheme="minorHAnsi" w:hAnsiTheme="minorHAnsi" w:cstheme="minorHAnsi"/>
          <w:color w:val="231F20"/>
        </w:rPr>
        <w:t>share an underlying assumption</w:t>
      </w:r>
      <w:r w:rsidR="004C4926" w:rsidRPr="00930FD8">
        <w:rPr>
          <w:rFonts w:asciiTheme="minorHAnsi" w:hAnsiTheme="minorHAnsi" w:cstheme="minorHAnsi"/>
          <w:color w:val="231F20"/>
        </w:rPr>
        <w:t xml:space="preserve"> that radicalization to violent extremism is a progressi</w:t>
      </w:r>
      <w:r w:rsidR="005F7E20" w:rsidRPr="00930FD8">
        <w:rPr>
          <w:rFonts w:asciiTheme="minorHAnsi" w:hAnsiTheme="minorHAnsi" w:cstheme="minorHAnsi"/>
          <w:color w:val="231F20"/>
        </w:rPr>
        <w:t>ve process</w:t>
      </w:r>
      <w:r w:rsidR="00B52DBA" w:rsidRPr="00930FD8">
        <w:rPr>
          <w:rFonts w:asciiTheme="minorHAnsi" w:hAnsiTheme="minorHAnsi" w:cstheme="minorHAnsi"/>
          <w:color w:val="231F20"/>
        </w:rPr>
        <w:t>,</w:t>
      </w:r>
      <w:r w:rsidR="004C4926" w:rsidRPr="00930FD8">
        <w:rPr>
          <w:rFonts w:asciiTheme="minorHAnsi" w:hAnsiTheme="minorHAnsi" w:cstheme="minorHAnsi"/>
          <w:color w:val="231F20"/>
        </w:rPr>
        <w:t xml:space="preserve"> with distinct phases</w:t>
      </w:r>
      <w:r w:rsidR="005F7E20" w:rsidRPr="00930FD8">
        <w:rPr>
          <w:rFonts w:asciiTheme="minorHAnsi" w:hAnsiTheme="minorHAnsi" w:cstheme="minorHAnsi"/>
          <w:color w:val="231F20"/>
        </w:rPr>
        <w:t xml:space="preserve">, thus emphasizing the need for </w:t>
      </w:r>
      <w:r w:rsidR="001D4746" w:rsidRPr="00930FD8">
        <w:rPr>
          <w:rFonts w:asciiTheme="minorHAnsi" w:hAnsiTheme="minorHAnsi" w:cstheme="minorHAnsi"/>
          <w:color w:val="231F20"/>
        </w:rPr>
        <w:t>early</w:t>
      </w:r>
      <w:r w:rsidR="005F7E20" w:rsidRPr="00930FD8">
        <w:rPr>
          <w:rFonts w:asciiTheme="minorHAnsi" w:hAnsiTheme="minorHAnsi" w:cstheme="minorHAnsi"/>
          <w:color w:val="231F20"/>
        </w:rPr>
        <w:t xml:space="preserve"> intervention</w:t>
      </w:r>
      <w:r w:rsidR="004C4926" w:rsidRPr="00930FD8">
        <w:rPr>
          <w:rFonts w:asciiTheme="minorHAnsi" w:hAnsiTheme="minorHAnsi" w:cstheme="minorHAnsi"/>
          <w:color w:val="231F20"/>
        </w:rPr>
        <w:t>.</w:t>
      </w:r>
      <w:r w:rsidR="005F7E20" w:rsidRPr="00930FD8">
        <w:rPr>
          <w:rStyle w:val="FootnoteReference"/>
          <w:rFonts w:asciiTheme="minorHAnsi" w:hAnsiTheme="minorHAnsi" w:cstheme="minorHAnsi"/>
          <w:color w:val="231F20"/>
        </w:rPr>
        <w:footnoteReference w:id="12"/>
      </w:r>
      <w:r w:rsidR="004C4926" w:rsidRPr="00930FD8">
        <w:rPr>
          <w:rFonts w:asciiTheme="minorHAnsi" w:hAnsiTheme="minorHAnsi" w:cstheme="minorHAnsi"/>
          <w:color w:val="231F20"/>
        </w:rPr>
        <w:t xml:space="preserve"> </w:t>
      </w:r>
      <w:r w:rsidR="004D03F2" w:rsidRPr="00701A42">
        <w:rPr>
          <w:rFonts w:asciiTheme="minorHAnsi" w:hAnsiTheme="minorHAnsi" w:cstheme="minorHAnsi"/>
        </w:rPr>
        <w:t>Catherine McGlynn and Shaun McDaid have wisely warned policymakers to be wary of the “suspicious neatness of the models and their eye-catching metaphors”</w:t>
      </w:r>
      <w:r w:rsidR="000D53C5">
        <w:rPr>
          <w:rFonts w:asciiTheme="minorHAnsi" w:hAnsiTheme="minorHAnsi" w:cstheme="minorHAnsi"/>
        </w:rPr>
        <w:t>,</w:t>
      </w:r>
      <w:r w:rsidR="004D03F2" w:rsidRPr="00701A42">
        <w:rPr>
          <w:rFonts w:asciiTheme="minorHAnsi" w:hAnsiTheme="minorHAnsi" w:cstheme="minorHAnsi"/>
        </w:rPr>
        <w:t xml:space="preserve"> </w:t>
      </w:r>
      <w:r w:rsidR="000D53C5">
        <w:rPr>
          <w:rFonts w:asciiTheme="minorHAnsi" w:hAnsiTheme="minorHAnsi" w:cstheme="minorHAnsi"/>
        </w:rPr>
        <w:t xml:space="preserve">but such models do at least </w:t>
      </w:r>
      <w:r w:rsidR="00881017">
        <w:rPr>
          <w:rFonts w:asciiTheme="minorHAnsi" w:hAnsiTheme="minorHAnsi" w:cstheme="minorHAnsi"/>
        </w:rPr>
        <w:t xml:space="preserve">have the merit of </w:t>
      </w:r>
      <w:r w:rsidR="000D53C5">
        <w:rPr>
          <w:rFonts w:asciiTheme="minorHAnsi" w:hAnsiTheme="minorHAnsi" w:cstheme="minorHAnsi"/>
        </w:rPr>
        <w:t>offer</w:t>
      </w:r>
      <w:r w:rsidR="00881017">
        <w:rPr>
          <w:rFonts w:asciiTheme="minorHAnsi" w:hAnsiTheme="minorHAnsi" w:cstheme="minorHAnsi"/>
        </w:rPr>
        <w:t>ing</w:t>
      </w:r>
      <w:r w:rsidR="000D53C5">
        <w:rPr>
          <w:rFonts w:asciiTheme="minorHAnsi" w:hAnsiTheme="minorHAnsi" w:cstheme="minorHAnsi"/>
        </w:rPr>
        <w:t xml:space="preserve"> policymakers a framework around which to </w:t>
      </w:r>
      <w:r w:rsidR="00881017">
        <w:rPr>
          <w:rFonts w:asciiTheme="minorHAnsi" w:hAnsiTheme="minorHAnsi" w:cstheme="minorHAnsi"/>
        </w:rPr>
        <w:t xml:space="preserve">begin </w:t>
      </w:r>
      <w:r w:rsidR="000D53C5">
        <w:rPr>
          <w:rFonts w:asciiTheme="minorHAnsi" w:hAnsiTheme="minorHAnsi" w:cstheme="minorHAnsi"/>
        </w:rPr>
        <w:t>craft</w:t>
      </w:r>
      <w:r w:rsidR="00881017">
        <w:rPr>
          <w:rFonts w:asciiTheme="minorHAnsi" w:hAnsiTheme="minorHAnsi" w:cstheme="minorHAnsi"/>
        </w:rPr>
        <w:t>ing</w:t>
      </w:r>
      <w:r w:rsidR="000D53C5">
        <w:rPr>
          <w:rFonts w:asciiTheme="minorHAnsi" w:hAnsiTheme="minorHAnsi" w:cstheme="minorHAnsi"/>
        </w:rPr>
        <w:t xml:space="preserve"> a response to </w:t>
      </w:r>
      <w:r w:rsidR="00881017">
        <w:rPr>
          <w:rFonts w:asciiTheme="minorHAnsi" w:hAnsiTheme="minorHAnsi" w:cstheme="minorHAnsi"/>
        </w:rPr>
        <w:t>a</w:t>
      </w:r>
      <w:r w:rsidR="000D53C5">
        <w:rPr>
          <w:rFonts w:asciiTheme="minorHAnsi" w:hAnsiTheme="minorHAnsi" w:cstheme="minorHAnsi"/>
        </w:rPr>
        <w:t xml:space="preserve"> multifac</w:t>
      </w:r>
      <w:r w:rsidR="00881017">
        <w:rPr>
          <w:rFonts w:asciiTheme="minorHAnsi" w:hAnsiTheme="minorHAnsi" w:cstheme="minorHAnsi"/>
        </w:rPr>
        <w:t>e</w:t>
      </w:r>
      <w:r w:rsidR="000D53C5">
        <w:rPr>
          <w:rFonts w:asciiTheme="minorHAnsi" w:hAnsiTheme="minorHAnsi" w:cstheme="minorHAnsi"/>
        </w:rPr>
        <w:t xml:space="preserve">ted </w:t>
      </w:r>
      <w:r w:rsidR="00881017">
        <w:rPr>
          <w:rFonts w:asciiTheme="minorHAnsi" w:hAnsiTheme="minorHAnsi" w:cstheme="minorHAnsi"/>
        </w:rPr>
        <w:t>challenge that might otherwise seem overwhelming</w:t>
      </w:r>
      <w:r w:rsidR="004D03F2" w:rsidRPr="00701A42">
        <w:rPr>
          <w:rFonts w:asciiTheme="minorHAnsi" w:hAnsiTheme="minorHAnsi" w:cstheme="minorHAnsi"/>
        </w:rPr>
        <w:t>.</w:t>
      </w:r>
      <w:r w:rsidR="004D03F2" w:rsidRPr="00701A42">
        <w:rPr>
          <w:rStyle w:val="FootnoteReference"/>
          <w:rFonts w:asciiTheme="minorHAnsi" w:hAnsiTheme="minorHAnsi" w:cstheme="minorHAnsi"/>
        </w:rPr>
        <w:footnoteReference w:id="13"/>
      </w:r>
      <w:r w:rsidR="004D03F2">
        <w:rPr>
          <w:rFonts w:asciiTheme="minorHAnsi" w:hAnsiTheme="minorHAnsi" w:cstheme="minorHAnsi"/>
          <w:color w:val="000000" w:themeColor="text1"/>
        </w:rPr>
        <w:t xml:space="preserve"> </w:t>
      </w:r>
      <w:r w:rsidR="00E32002" w:rsidRPr="00930FD8">
        <w:rPr>
          <w:rFonts w:asciiTheme="minorHAnsi" w:hAnsiTheme="minorHAnsi" w:cstheme="minorHAnsi"/>
          <w:color w:val="000000" w:themeColor="text1"/>
        </w:rPr>
        <w:t xml:space="preserve">The bottom line, in the words of </w:t>
      </w:r>
      <w:r w:rsidR="00DF510F">
        <w:rPr>
          <w:rFonts w:asciiTheme="minorHAnsi" w:hAnsiTheme="minorHAnsi" w:cstheme="minorHAnsi"/>
          <w:color w:val="000000" w:themeColor="text1"/>
        </w:rPr>
        <w:t xml:space="preserve">deradicalization practitioners </w:t>
      </w:r>
      <w:r w:rsidR="00E32002" w:rsidRPr="00930FD8">
        <w:rPr>
          <w:rFonts w:asciiTheme="minorHAnsi" w:hAnsiTheme="minorHAnsi" w:cstheme="minorHAnsi"/>
        </w:rPr>
        <w:t xml:space="preserve">Daniel Koehler and Verena </w:t>
      </w:r>
      <w:proofErr w:type="spellStart"/>
      <w:r w:rsidR="00E32002" w:rsidRPr="00930FD8">
        <w:rPr>
          <w:rFonts w:asciiTheme="minorHAnsi" w:hAnsiTheme="minorHAnsi" w:cstheme="minorHAnsi"/>
        </w:rPr>
        <w:t>Fiebig</w:t>
      </w:r>
      <w:proofErr w:type="spellEnd"/>
      <w:r w:rsidR="00E32002" w:rsidRPr="00930FD8">
        <w:rPr>
          <w:rFonts w:asciiTheme="minorHAnsi" w:hAnsiTheme="minorHAnsi" w:cstheme="minorHAnsi"/>
        </w:rPr>
        <w:t>, is that</w:t>
      </w:r>
      <w:r w:rsidR="00E32002" w:rsidRPr="00930FD8">
        <w:rPr>
          <w:rFonts w:asciiTheme="minorHAnsi" w:hAnsiTheme="minorHAnsi" w:cstheme="minorHAnsi"/>
          <w:color w:val="000000" w:themeColor="text1"/>
        </w:rPr>
        <w:t xml:space="preserve"> “scholars studying violent radicalization processes agree that these processes are highly complex and individual, and connected to a range of drivers, influences, and pathways.”</w:t>
      </w:r>
      <w:r w:rsidR="00E32002" w:rsidRPr="00930FD8">
        <w:rPr>
          <w:rStyle w:val="FootnoteReference"/>
          <w:rFonts w:asciiTheme="minorHAnsi" w:hAnsiTheme="minorHAnsi" w:cstheme="minorHAnsi"/>
          <w:color w:val="000000" w:themeColor="text1"/>
        </w:rPr>
        <w:footnoteReference w:id="14"/>
      </w:r>
      <w:r w:rsidR="00E32002" w:rsidRPr="00930FD8">
        <w:rPr>
          <w:rFonts w:asciiTheme="minorHAnsi" w:hAnsiTheme="minorHAnsi" w:cstheme="minorHAnsi"/>
          <w:color w:val="000000" w:themeColor="text1"/>
        </w:rPr>
        <w:t xml:space="preserve"> </w:t>
      </w:r>
    </w:p>
    <w:p w14:paraId="11987942" w14:textId="77777777" w:rsidR="00186B36" w:rsidRPr="00C52A04" w:rsidRDefault="00186B36" w:rsidP="00186B36">
      <w:pPr>
        <w:pStyle w:val="NoSpacing"/>
        <w:jc w:val="both"/>
        <w:rPr>
          <w:rFonts w:asciiTheme="minorHAnsi" w:hAnsiTheme="minorHAnsi" w:cstheme="minorHAnsi"/>
        </w:rPr>
      </w:pPr>
    </w:p>
    <w:p w14:paraId="1460CC31" w14:textId="334076DF" w:rsidR="001B78C1" w:rsidRDefault="00186B36" w:rsidP="00C52A04">
      <w:pPr>
        <w:pStyle w:val="BodyText"/>
        <w:jc w:val="both"/>
        <w:rPr>
          <w:rFonts w:asciiTheme="minorHAnsi" w:eastAsia="Times New Roman" w:hAnsiTheme="minorHAnsi" w:cstheme="minorHAnsi"/>
          <w:color w:val="0B0C0C"/>
          <w:sz w:val="24"/>
          <w:szCs w:val="24"/>
        </w:rPr>
      </w:pPr>
      <w:r w:rsidRPr="00C52A04">
        <w:rPr>
          <w:rFonts w:asciiTheme="minorHAnsi" w:eastAsia="Times New Roman" w:hAnsiTheme="minorHAnsi" w:cstheme="minorHAnsi"/>
          <w:color w:val="000000" w:themeColor="text1"/>
          <w:sz w:val="24"/>
          <w:szCs w:val="24"/>
        </w:rPr>
        <w:t xml:space="preserve">In my book </w:t>
      </w:r>
      <w:r w:rsidRPr="00C52A04">
        <w:rPr>
          <w:rFonts w:asciiTheme="minorHAnsi" w:eastAsia="Times New Roman" w:hAnsiTheme="minorHAnsi" w:cstheme="minorHAnsi"/>
          <w:i/>
          <w:iCs/>
          <w:color w:val="000000" w:themeColor="text1"/>
          <w:sz w:val="24"/>
          <w:szCs w:val="24"/>
        </w:rPr>
        <w:t>Avoiding the Terrorist Trap</w:t>
      </w:r>
      <w:r w:rsidRPr="00C52A04">
        <w:rPr>
          <w:rFonts w:asciiTheme="minorHAnsi" w:eastAsia="Times New Roman" w:hAnsiTheme="minorHAnsi" w:cstheme="minorHAnsi"/>
          <w:color w:val="000000" w:themeColor="text1"/>
          <w:sz w:val="24"/>
          <w:szCs w:val="24"/>
        </w:rPr>
        <w:t xml:space="preserve"> I </w:t>
      </w:r>
      <w:r w:rsidR="00300F3A" w:rsidRPr="00C52A04">
        <w:rPr>
          <w:rFonts w:asciiTheme="minorHAnsi" w:eastAsia="Times New Roman" w:hAnsiTheme="minorHAnsi" w:cstheme="minorHAnsi"/>
          <w:color w:val="000000" w:themeColor="text1"/>
          <w:sz w:val="24"/>
          <w:szCs w:val="24"/>
        </w:rPr>
        <w:t>set out</w:t>
      </w:r>
      <w:r w:rsidRPr="00C52A04">
        <w:rPr>
          <w:rFonts w:asciiTheme="minorHAnsi" w:eastAsia="Times New Roman" w:hAnsiTheme="minorHAnsi" w:cstheme="minorHAnsi"/>
          <w:color w:val="000000" w:themeColor="text1"/>
          <w:sz w:val="24"/>
          <w:szCs w:val="24"/>
        </w:rPr>
        <w:t xml:space="preserve"> to disaggregate the main ideas that play an active role in these models</w:t>
      </w:r>
      <w:r w:rsidR="00974166" w:rsidRPr="00C52A04">
        <w:rPr>
          <w:rFonts w:asciiTheme="minorHAnsi" w:eastAsia="Times New Roman" w:hAnsiTheme="minorHAnsi" w:cstheme="minorHAnsi"/>
          <w:color w:val="000000" w:themeColor="text1"/>
          <w:sz w:val="24"/>
          <w:szCs w:val="24"/>
        </w:rPr>
        <w:t xml:space="preserve"> into five categories: youth and identity formation; empathy for others; membership of extremist social networks; social, economic and political marginalization; and experience of state human rights abuses.</w:t>
      </w:r>
      <w:r w:rsidR="009421C4" w:rsidRPr="00C52A04">
        <w:rPr>
          <w:rStyle w:val="FootnoteReference"/>
          <w:rFonts w:asciiTheme="minorHAnsi" w:eastAsia="Times New Roman" w:hAnsiTheme="minorHAnsi" w:cstheme="minorHAnsi"/>
          <w:color w:val="000000" w:themeColor="text1"/>
          <w:sz w:val="24"/>
          <w:szCs w:val="24"/>
        </w:rPr>
        <w:footnoteReference w:id="15"/>
      </w:r>
      <w:r w:rsidR="004F2868" w:rsidRPr="00C52A04">
        <w:rPr>
          <w:rFonts w:asciiTheme="minorHAnsi" w:eastAsia="Times New Roman" w:hAnsiTheme="minorHAnsi" w:cstheme="minorHAnsi"/>
          <w:color w:val="000000" w:themeColor="text1"/>
          <w:sz w:val="24"/>
          <w:szCs w:val="24"/>
        </w:rPr>
        <w:t xml:space="preserve"> </w:t>
      </w:r>
      <w:r w:rsidR="00072661">
        <w:rPr>
          <w:rFonts w:asciiTheme="minorHAnsi" w:eastAsia="Times New Roman" w:hAnsiTheme="minorHAnsi" w:cstheme="minorHAnsi"/>
          <w:color w:val="000000" w:themeColor="text1"/>
          <w:sz w:val="24"/>
          <w:szCs w:val="24"/>
        </w:rPr>
        <w:t xml:space="preserve">The first three of these </w:t>
      </w:r>
      <w:r w:rsidR="00072661">
        <w:rPr>
          <w:rFonts w:asciiTheme="minorHAnsi" w:eastAsia="Times New Roman" w:hAnsiTheme="minorHAnsi" w:cstheme="minorHAnsi"/>
          <w:color w:val="000000" w:themeColor="text1"/>
          <w:sz w:val="24"/>
          <w:szCs w:val="24"/>
        </w:rPr>
        <w:lastRenderedPageBreak/>
        <w:t>categories of</w:t>
      </w:r>
      <w:r w:rsidR="004F2868" w:rsidRPr="00C52A04">
        <w:rPr>
          <w:rFonts w:asciiTheme="minorHAnsi" w:eastAsia="Times New Roman" w:hAnsiTheme="minorHAnsi" w:cstheme="minorHAnsi"/>
          <w:color w:val="000000" w:themeColor="text1"/>
          <w:sz w:val="24"/>
          <w:szCs w:val="24"/>
        </w:rPr>
        <w:t xml:space="preserve"> driver highlight the potential for a youth to make poor choices, to fall prey to powerful, but not always truthful, narratives</w:t>
      </w:r>
      <w:r w:rsidR="0072474A">
        <w:rPr>
          <w:rFonts w:asciiTheme="minorHAnsi" w:eastAsia="Times New Roman" w:hAnsiTheme="minorHAnsi" w:cstheme="minorHAnsi"/>
          <w:color w:val="000000" w:themeColor="text1"/>
          <w:sz w:val="24"/>
          <w:szCs w:val="24"/>
        </w:rPr>
        <w:t>, and</w:t>
      </w:r>
      <w:r w:rsidR="0072474A" w:rsidRPr="0072474A">
        <w:rPr>
          <w:rFonts w:asciiTheme="minorHAnsi" w:eastAsia="Times New Roman" w:hAnsiTheme="minorHAnsi" w:cstheme="minorHAnsi"/>
          <w:color w:val="000000" w:themeColor="text1"/>
          <w:sz w:val="24"/>
          <w:szCs w:val="24"/>
        </w:rPr>
        <w:t xml:space="preserve"> </w:t>
      </w:r>
      <w:r w:rsidR="0072474A" w:rsidRPr="00C52A04">
        <w:rPr>
          <w:rFonts w:asciiTheme="minorHAnsi" w:eastAsia="Times New Roman" w:hAnsiTheme="minorHAnsi" w:cstheme="minorHAnsi"/>
          <w:color w:val="000000" w:themeColor="text1"/>
          <w:sz w:val="24"/>
          <w:szCs w:val="24"/>
        </w:rPr>
        <w:t>to fall in with or to be born into the wrong crowd</w:t>
      </w:r>
      <w:r w:rsidR="004F2868" w:rsidRPr="00C52A04">
        <w:rPr>
          <w:rFonts w:asciiTheme="minorHAnsi" w:eastAsia="Times New Roman" w:hAnsiTheme="minorHAnsi" w:cstheme="minorHAnsi"/>
          <w:color w:val="000000" w:themeColor="text1"/>
          <w:sz w:val="24"/>
          <w:szCs w:val="24"/>
        </w:rPr>
        <w:t xml:space="preserve">. These are </w:t>
      </w:r>
      <w:r w:rsidR="00A22F13">
        <w:rPr>
          <w:rFonts w:asciiTheme="minorHAnsi" w:eastAsia="Times New Roman" w:hAnsiTheme="minorHAnsi" w:cstheme="minorHAnsi"/>
          <w:color w:val="000000" w:themeColor="text1"/>
          <w:sz w:val="24"/>
          <w:szCs w:val="24"/>
        </w:rPr>
        <w:t>in essence all</w:t>
      </w:r>
      <w:r w:rsidR="004F2868" w:rsidRPr="00C52A04">
        <w:rPr>
          <w:rFonts w:asciiTheme="minorHAnsi" w:eastAsia="Times New Roman" w:hAnsiTheme="minorHAnsi" w:cstheme="minorHAnsi"/>
          <w:color w:val="000000" w:themeColor="text1"/>
          <w:sz w:val="24"/>
          <w:szCs w:val="24"/>
        </w:rPr>
        <w:t xml:space="preserve"> drivers that </w:t>
      </w:r>
      <w:r w:rsidR="009448C9" w:rsidRPr="00C52A04">
        <w:rPr>
          <w:rFonts w:asciiTheme="minorHAnsi" w:eastAsia="Times New Roman" w:hAnsiTheme="minorHAnsi" w:cstheme="minorHAnsi"/>
          <w:color w:val="000000" w:themeColor="text1"/>
          <w:sz w:val="24"/>
          <w:szCs w:val="24"/>
        </w:rPr>
        <w:t xml:space="preserve">locate the blame for extremist behavior securely on the </w:t>
      </w:r>
      <w:r w:rsidR="008336F4">
        <w:rPr>
          <w:rFonts w:asciiTheme="minorHAnsi" w:eastAsia="Times New Roman" w:hAnsiTheme="minorHAnsi" w:cstheme="minorHAnsi"/>
          <w:color w:val="000000" w:themeColor="text1"/>
          <w:sz w:val="24"/>
          <w:szCs w:val="24"/>
        </w:rPr>
        <w:t xml:space="preserve">failures of the </w:t>
      </w:r>
      <w:r w:rsidR="009448C9" w:rsidRPr="00C52A04">
        <w:rPr>
          <w:rFonts w:asciiTheme="minorHAnsi" w:eastAsia="Times New Roman" w:hAnsiTheme="minorHAnsi" w:cstheme="minorHAnsi"/>
          <w:color w:val="000000" w:themeColor="text1"/>
          <w:sz w:val="24"/>
          <w:szCs w:val="24"/>
        </w:rPr>
        <w:t>individual</w:t>
      </w:r>
      <w:r w:rsidR="00A22F13">
        <w:rPr>
          <w:rFonts w:asciiTheme="minorHAnsi" w:eastAsia="Times New Roman" w:hAnsiTheme="minorHAnsi" w:cstheme="minorHAnsi"/>
          <w:color w:val="000000" w:themeColor="text1"/>
          <w:sz w:val="24"/>
          <w:szCs w:val="24"/>
        </w:rPr>
        <w:t>,</w:t>
      </w:r>
      <w:r w:rsidR="00116B1D" w:rsidRPr="00C52A04">
        <w:rPr>
          <w:rFonts w:asciiTheme="minorHAnsi" w:eastAsia="Times New Roman" w:hAnsiTheme="minorHAnsi" w:cstheme="minorHAnsi"/>
          <w:color w:val="000000" w:themeColor="text1"/>
          <w:sz w:val="24"/>
          <w:szCs w:val="24"/>
        </w:rPr>
        <w:t xml:space="preserve"> or</w:t>
      </w:r>
      <w:r w:rsidR="008336F4">
        <w:rPr>
          <w:rFonts w:asciiTheme="minorHAnsi" w:eastAsia="Times New Roman" w:hAnsiTheme="minorHAnsi" w:cstheme="minorHAnsi"/>
          <w:color w:val="000000" w:themeColor="text1"/>
          <w:sz w:val="24"/>
          <w:szCs w:val="24"/>
        </w:rPr>
        <w:t xml:space="preserve"> </w:t>
      </w:r>
      <w:r w:rsidR="00F83304">
        <w:rPr>
          <w:rFonts w:asciiTheme="minorHAnsi" w:eastAsia="Times New Roman" w:hAnsiTheme="minorHAnsi" w:cstheme="minorHAnsi"/>
          <w:color w:val="000000" w:themeColor="text1"/>
          <w:sz w:val="24"/>
          <w:szCs w:val="24"/>
        </w:rPr>
        <w:t>on</w:t>
      </w:r>
      <w:r w:rsidR="00116B1D" w:rsidRPr="00C52A04">
        <w:rPr>
          <w:rFonts w:asciiTheme="minorHAnsi" w:eastAsia="Times New Roman" w:hAnsiTheme="minorHAnsi" w:cstheme="minorHAnsi"/>
          <w:color w:val="000000" w:themeColor="text1"/>
          <w:sz w:val="24"/>
          <w:szCs w:val="24"/>
        </w:rPr>
        <w:t xml:space="preserve"> the nefarious other</w:t>
      </w:r>
      <w:r w:rsidR="008336F4">
        <w:rPr>
          <w:rFonts w:asciiTheme="minorHAnsi" w:eastAsia="Times New Roman" w:hAnsiTheme="minorHAnsi" w:cstheme="minorHAnsi"/>
          <w:color w:val="000000" w:themeColor="text1"/>
          <w:sz w:val="24"/>
          <w:szCs w:val="24"/>
        </w:rPr>
        <w:t xml:space="preserve">, </w:t>
      </w:r>
      <w:r w:rsidR="00F83304">
        <w:rPr>
          <w:rFonts w:asciiTheme="minorHAnsi" w:eastAsia="Times New Roman" w:hAnsiTheme="minorHAnsi" w:cstheme="minorHAnsi"/>
          <w:color w:val="000000" w:themeColor="text1"/>
          <w:sz w:val="24"/>
          <w:szCs w:val="24"/>
        </w:rPr>
        <w:t>typically a</w:t>
      </w:r>
      <w:r w:rsidR="008336F4">
        <w:rPr>
          <w:rFonts w:asciiTheme="minorHAnsi" w:eastAsia="Times New Roman" w:hAnsiTheme="minorHAnsi" w:cstheme="minorHAnsi"/>
          <w:color w:val="000000" w:themeColor="text1"/>
          <w:sz w:val="24"/>
          <w:szCs w:val="24"/>
        </w:rPr>
        <w:t xml:space="preserve"> shadowy recruiter </w:t>
      </w:r>
      <w:r w:rsidR="00F83304">
        <w:rPr>
          <w:rFonts w:asciiTheme="minorHAnsi" w:eastAsia="Times New Roman" w:hAnsiTheme="minorHAnsi" w:cstheme="minorHAnsi"/>
          <w:color w:val="000000" w:themeColor="text1"/>
          <w:sz w:val="24"/>
          <w:szCs w:val="24"/>
        </w:rPr>
        <w:t xml:space="preserve">preying on the lonely and vulnerable. </w:t>
      </w:r>
      <w:r w:rsidR="00302F38">
        <w:rPr>
          <w:rFonts w:asciiTheme="minorHAnsi" w:eastAsia="Times New Roman" w:hAnsiTheme="minorHAnsi" w:cstheme="minorHAnsi"/>
          <w:color w:val="000000" w:themeColor="text1"/>
          <w:sz w:val="24"/>
          <w:szCs w:val="24"/>
        </w:rPr>
        <w:t>Indeed, some models</w:t>
      </w:r>
      <w:r w:rsidR="0072474A">
        <w:rPr>
          <w:rFonts w:asciiTheme="minorHAnsi" w:eastAsia="Times New Roman" w:hAnsiTheme="minorHAnsi" w:cstheme="minorHAnsi"/>
          <w:color w:val="000000" w:themeColor="text1"/>
          <w:sz w:val="24"/>
          <w:szCs w:val="24"/>
        </w:rPr>
        <w:t xml:space="preserve">, like the Extremism Risk Guidance </w:t>
      </w:r>
      <w:r w:rsidR="00302F38">
        <w:rPr>
          <w:rFonts w:asciiTheme="minorHAnsi" w:eastAsia="Times New Roman" w:hAnsiTheme="minorHAnsi" w:cstheme="minorHAnsi"/>
          <w:color w:val="000000" w:themeColor="text1"/>
          <w:sz w:val="24"/>
          <w:szCs w:val="24"/>
        </w:rPr>
        <w:t xml:space="preserve"> </w:t>
      </w:r>
      <w:r w:rsidR="0072474A">
        <w:rPr>
          <w:rFonts w:asciiTheme="minorHAnsi" w:eastAsia="Times New Roman" w:hAnsiTheme="minorHAnsi" w:cstheme="minorHAnsi"/>
          <w:color w:val="000000" w:themeColor="text1"/>
          <w:sz w:val="24"/>
          <w:szCs w:val="24"/>
        </w:rPr>
        <w:t>(ERG22+) framework developed by the UK’s National Offender Management Service</w:t>
      </w:r>
      <w:r w:rsidR="00F457FA">
        <w:rPr>
          <w:rFonts w:asciiTheme="minorHAnsi" w:eastAsia="Times New Roman" w:hAnsiTheme="minorHAnsi" w:cstheme="minorHAnsi"/>
          <w:color w:val="000000" w:themeColor="text1"/>
          <w:sz w:val="24"/>
          <w:szCs w:val="24"/>
        </w:rPr>
        <w:t xml:space="preserve"> (NOMS)</w:t>
      </w:r>
      <w:r w:rsidR="0072474A">
        <w:rPr>
          <w:rFonts w:asciiTheme="minorHAnsi" w:eastAsia="Times New Roman" w:hAnsiTheme="minorHAnsi" w:cstheme="minorHAnsi"/>
          <w:color w:val="000000" w:themeColor="text1"/>
          <w:sz w:val="24"/>
          <w:szCs w:val="24"/>
        </w:rPr>
        <w:t xml:space="preserve">, </w:t>
      </w:r>
      <w:r w:rsidR="00302F38">
        <w:rPr>
          <w:rFonts w:asciiTheme="minorHAnsi" w:eastAsia="Times New Roman" w:hAnsiTheme="minorHAnsi" w:cstheme="minorHAnsi"/>
          <w:color w:val="000000" w:themeColor="text1"/>
          <w:sz w:val="24"/>
          <w:szCs w:val="24"/>
        </w:rPr>
        <w:t>even use the language of “conditioning or grooming”</w:t>
      </w:r>
      <w:r w:rsidR="0072474A">
        <w:rPr>
          <w:rFonts w:asciiTheme="minorHAnsi" w:eastAsia="Times New Roman" w:hAnsiTheme="minorHAnsi" w:cstheme="minorHAnsi"/>
          <w:color w:val="000000" w:themeColor="text1"/>
          <w:sz w:val="24"/>
          <w:szCs w:val="24"/>
        </w:rPr>
        <w:t>,</w:t>
      </w:r>
      <w:r w:rsidR="00302F38">
        <w:rPr>
          <w:rFonts w:asciiTheme="minorHAnsi" w:eastAsia="Times New Roman" w:hAnsiTheme="minorHAnsi" w:cstheme="minorHAnsi"/>
          <w:color w:val="000000" w:themeColor="text1"/>
          <w:sz w:val="24"/>
          <w:szCs w:val="24"/>
        </w:rPr>
        <w:t xml:space="preserve"> in effect </w:t>
      </w:r>
      <w:r w:rsidR="00A22F13">
        <w:rPr>
          <w:rFonts w:asciiTheme="minorHAnsi" w:eastAsia="Times New Roman" w:hAnsiTheme="minorHAnsi" w:cstheme="minorHAnsi"/>
          <w:color w:val="000000" w:themeColor="text1"/>
          <w:sz w:val="24"/>
          <w:szCs w:val="24"/>
        </w:rPr>
        <w:t>equating</w:t>
      </w:r>
      <w:r w:rsidR="00302F38">
        <w:rPr>
          <w:rFonts w:asciiTheme="minorHAnsi" w:eastAsia="Times New Roman" w:hAnsiTheme="minorHAnsi" w:cstheme="minorHAnsi"/>
          <w:color w:val="000000" w:themeColor="text1"/>
          <w:sz w:val="24"/>
          <w:szCs w:val="24"/>
        </w:rPr>
        <w:t xml:space="preserve"> terrorist recruiters to sexual predators.</w:t>
      </w:r>
      <w:r w:rsidR="00A22F13">
        <w:rPr>
          <w:rStyle w:val="FootnoteReference"/>
          <w:rFonts w:asciiTheme="minorHAnsi" w:eastAsia="Times New Roman" w:hAnsiTheme="minorHAnsi" w:cstheme="minorHAnsi"/>
          <w:color w:val="000000" w:themeColor="text1"/>
          <w:sz w:val="24"/>
          <w:szCs w:val="24"/>
        </w:rPr>
        <w:footnoteReference w:id="16"/>
      </w:r>
      <w:r w:rsidR="00302F38">
        <w:rPr>
          <w:rFonts w:asciiTheme="minorHAnsi" w:eastAsia="Times New Roman" w:hAnsiTheme="minorHAnsi" w:cstheme="minorHAnsi"/>
          <w:color w:val="000000" w:themeColor="text1"/>
          <w:sz w:val="24"/>
          <w:szCs w:val="24"/>
        </w:rPr>
        <w:t xml:space="preserve"> </w:t>
      </w:r>
      <w:r w:rsidR="00A22F13">
        <w:rPr>
          <w:rFonts w:asciiTheme="minorHAnsi" w:eastAsia="Times New Roman" w:hAnsiTheme="minorHAnsi" w:cstheme="minorHAnsi"/>
          <w:color w:val="000000" w:themeColor="text1"/>
          <w:sz w:val="24"/>
          <w:szCs w:val="24"/>
        </w:rPr>
        <w:t>T</w:t>
      </w:r>
      <w:r w:rsidR="0060209B">
        <w:rPr>
          <w:rFonts w:asciiTheme="minorHAnsi" w:eastAsia="Times New Roman" w:hAnsiTheme="minorHAnsi" w:cstheme="minorHAnsi"/>
          <w:color w:val="000000" w:themeColor="text1"/>
          <w:sz w:val="24"/>
          <w:szCs w:val="24"/>
        </w:rPr>
        <w:t>o some extent this</w:t>
      </w:r>
      <w:r w:rsidR="008D40AA" w:rsidRPr="00C52A04">
        <w:rPr>
          <w:rFonts w:asciiTheme="minorHAnsi" w:eastAsia="Times New Roman" w:hAnsiTheme="minorHAnsi" w:cstheme="minorHAnsi"/>
          <w:color w:val="000000" w:themeColor="text1"/>
          <w:sz w:val="24"/>
          <w:szCs w:val="24"/>
        </w:rPr>
        <w:t xml:space="preserve"> make</w:t>
      </w:r>
      <w:r w:rsidR="00A22F13">
        <w:rPr>
          <w:rFonts w:asciiTheme="minorHAnsi" w:eastAsia="Times New Roman" w:hAnsiTheme="minorHAnsi" w:cstheme="minorHAnsi"/>
          <w:color w:val="000000" w:themeColor="text1"/>
          <w:sz w:val="24"/>
          <w:szCs w:val="24"/>
        </w:rPr>
        <w:t>s</w:t>
      </w:r>
      <w:r w:rsidR="008D40AA" w:rsidRPr="00C52A04">
        <w:rPr>
          <w:rFonts w:asciiTheme="minorHAnsi" w:eastAsia="Times New Roman" w:hAnsiTheme="minorHAnsi" w:cstheme="minorHAnsi"/>
          <w:color w:val="000000" w:themeColor="text1"/>
          <w:sz w:val="24"/>
          <w:szCs w:val="24"/>
        </w:rPr>
        <w:t xml:space="preserve"> the challenge of preventing violent extremism seem more manageable</w:t>
      </w:r>
      <w:r w:rsidR="00116B1D" w:rsidRPr="00C52A04">
        <w:rPr>
          <w:rFonts w:asciiTheme="minorHAnsi" w:eastAsia="Times New Roman" w:hAnsiTheme="minorHAnsi" w:cstheme="minorHAnsi"/>
          <w:color w:val="000000" w:themeColor="text1"/>
          <w:sz w:val="24"/>
          <w:szCs w:val="24"/>
        </w:rPr>
        <w:t>, creating an operating assumption that if the state can just identify the right individuals before their flirtation with extremist views has become irreversible then the right combination of psychosocial interventions</w:t>
      </w:r>
      <w:r w:rsidR="00F83304">
        <w:rPr>
          <w:rFonts w:asciiTheme="minorHAnsi" w:eastAsia="Times New Roman" w:hAnsiTheme="minorHAnsi" w:cstheme="minorHAnsi"/>
          <w:color w:val="000000" w:themeColor="text1"/>
          <w:sz w:val="24"/>
          <w:szCs w:val="24"/>
        </w:rPr>
        <w:t xml:space="preserve"> or commonsense engagement</w:t>
      </w:r>
      <w:r w:rsidR="00116B1D" w:rsidRPr="00C52A04">
        <w:rPr>
          <w:rFonts w:asciiTheme="minorHAnsi" w:eastAsia="Times New Roman" w:hAnsiTheme="minorHAnsi" w:cstheme="minorHAnsi"/>
          <w:color w:val="000000" w:themeColor="text1"/>
          <w:sz w:val="24"/>
          <w:szCs w:val="24"/>
        </w:rPr>
        <w:t xml:space="preserve"> can pull them back from the brink.</w:t>
      </w:r>
      <w:r w:rsidR="00C80720">
        <w:rPr>
          <w:rStyle w:val="FootnoteReference"/>
          <w:rFonts w:asciiTheme="minorHAnsi" w:eastAsia="Times New Roman" w:hAnsiTheme="minorHAnsi" w:cstheme="minorHAnsi"/>
          <w:color w:val="000000" w:themeColor="text1"/>
          <w:sz w:val="24"/>
          <w:szCs w:val="24"/>
        </w:rPr>
        <w:footnoteReference w:id="17"/>
      </w:r>
      <w:r w:rsidR="00116B1D" w:rsidRPr="00C52A04">
        <w:rPr>
          <w:rFonts w:asciiTheme="minorHAnsi" w:eastAsia="Times New Roman" w:hAnsiTheme="minorHAnsi" w:cstheme="minorHAnsi"/>
          <w:color w:val="000000" w:themeColor="text1"/>
          <w:sz w:val="24"/>
          <w:szCs w:val="24"/>
        </w:rPr>
        <w:t xml:space="preserve"> </w:t>
      </w:r>
      <w:r w:rsidR="009A20B8">
        <w:rPr>
          <w:rFonts w:asciiTheme="minorHAnsi" w:eastAsia="Times New Roman" w:hAnsiTheme="minorHAnsi" w:cstheme="minorHAnsi"/>
          <w:color w:val="000000" w:themeColor="text1"/>
          <w:sz w:val="24"/>
          <w:szCs w:val="24"/>
        </w:rPr>
        <w:t>This</w:t>
      </w:r>
      <w:r w:rsidR="00430CA0">
        <w:rPr>
          <w:rFonts w:asciiTheme="minorHAnsi" w:eastAsia="Times New Roman" w:hAnsiTheme="minorHAnsi" w:cstheme="minorHAnsi"/>
          <w:color w:val="000000" w:themeColor="text1"/>
          <w:sz w:val="24"/>
          <w:szCs w:val="24"/>
        </w:rPr>
        <w:t xml:space="preserve"> </w:t>
      </w:r>
      <w:r w:rsidR="009A20B8">
        <w:rPr>
          <w:rFonts w:asciiTheme="minorHAnsi" w:eastAsia="Times New Roman" w:hAnsiTheme="minorHAnsi" w:cstheme="minorHAnsi"/>
          <w:color w:val="000000" w:themeColor="text1"/>
          <w:sz w:val="24"/>
          <w:szCs w:val="24"/>
        </w:rPr>
        <w:t>framing</w:t>
      </w:r>
      <w:r w:rsidR="00430CA0">
        <w:rPr>
          <w:rFonts w:asciiTheme="minorHAnsi" w:eastAsia="Times New Roman" w:hAnsiTheme="minorHAnsi" w:cstheme="minorHAnsi"/>
          <w:color w:val="000000" w:themeColor="text1"/>
          <w:sz w:val="24"/>
          <w:szCs w:val="24"/>
        </w:rPr>
        <w:t xml:space="preserve"> casts the state in the role of protector, shielding the vulnerable from harm. </w:t>
      </w:r>
      <w:r w:rsidR="009A20B8">
        <w:rPr>
          <w:rFonts w:asciiTheme="minorHAnsi" w:eastAsia="Times New Roman" w:hAnsiTheme="minorHAnsi" w:cstheme="minorHAnsi"/>
          <w:color w:val="000000" w:themeColor="text1"/>
          <w:sz w:val="24"/>
          <w:szCs w:val="24"/>
        </w:rPr>
        <w:t>It</w:t>
      </w:r>
      <w:r w:rsidR="00116B1D" w:rsidRPr="00C52A04">
        <w:rPr>
          <w:rFonts w:asciiTheme="minorHAnsi" w:eastAsia="Times New Roman" w:hAnsiTheme="minorHAnsi" w:cstheme="minorHAnsi"/>
          <w:color w:val="000000" w:themeColor="text1"/>
          <w:sz w:val="24"/>
          <w:szCs w:val="24"/>
        </w:rPr>
        <w:t xml:space="preserve"> is a seductive </w:t>
      </w:r>
      <w:r w:rsidR="00072661">
        <w:rPr>
          <w:rFonts w:asciiTheme="minorHAnsi" w:eastAsia="Times New Roman" w:hAnsiTheme="minorHAnsi" w:cstheme="minorHAnsi"/>
          <w:color w:val="000000" w:themeColor="text1"/>
          <w:sz w:val="24"/>
          <w:szCs w:val="24"/>
        </w:rPr>
        <w:t>notion</w:t>
      </w:r>
      <w:r w:rsidR="005E4BAE" w:rsidRPr="00C52A04">
        <w:rPr>
          <w:rFonts w:asciiTheme="minorHAnsi" w:eastAsia="Times New Roman" w:hAnsiTheme="minorHAnsi" w:cstheme="minorHAnsi"/>
          <w:color w:val="000000" w:themeColor="text1"/>
          <w:sz w:val="24"/>
          <w:szCs w:val="24"/>
        </w:rPr>
        <w:t xml:space="preserve">, but </w:t>
      </w:r>
      <w:r w:rsidR="00F83304">
        <w:rPr>
          <w:rFonts w:asciiTheme="minorHAnsi" w:eastAsia="Times New Roman" w:hAnsiTheme="minorHAnsi" w:cstheme="minorHAnsi"/>
          <w:color w:val="000000" w:themeColor="text1"/>
          <w:sz w:val="24"/>
          <w:szCs w:val="24"/>
        </w:rPr>
        <w:t xml:space="preserve">it strips the </w:t>
      </w:r>
      <w:r w:rsidR="00C52A04" w:rsidRPr="00C52A04">
        <w:rPr>
          <w:rFonts w:asciiTheme="minorHAnsi" w:hAnsiTheme="minorHAnsi" w:cstheme="minorHAnsi"/>
          <w:sz w:val="24"/>
          <w:szCs w:val="24"/>
        </w:rPr>
        <w:t xml:space="preserve">potential recruit </w:t>
      </w:r>
      <w:r w:rsidR="00C52A04" w:rsidRPr="00C52A04">
        <w:rPr>
          <w:rFonts w:asciiTheme="minorHAnsi" w:eastAsia="Times New Roman" w:hAnsiTheme="minorHAnsi" w:cstheme="minorHAnsi"/>
          <w:color w:val="0B0C0C"/>
          <w:sz w:val="24"/>
          <w:szCs w:val="24"/>
        </w:rPr>
        <w:t xml:space="preserve">of </w:t>
      </w:r>
      <w:r w:rsidR="008336F4">
        <w:rPr>
          <w:rFonts w:asciiTheme="minorHAnsi" w:eastAsia="Times New Roman" w:hAnsiTheme="minorHAnsi" w:cstheme="minorHAnsi"/>
          <w:color w:val="0B0C0C"/>
          <w:sz w:val="24"/>
          <w:szCs w:val="24"/>
        </w:rPr>
        <w:t xml:space="preserve">a significant </w:t>
      </w:r>
      <w:r w:rsidR="00C52A04">
        <w:rPr>
          <w:rFonts w:asciiTheme="minorHAnsi" w:eastAsia="Times New Roman" w:hAnsiTheme="minorHAnsi" w:cstheme="minorHAnsi"/>
          <w:color w:val="0B0C0C"/>
          <w:sz w:val="24"/>
          <w:szCs w:val="24"/>
        </w:rPr>
        <w:t xml:space="preserve">degree of </w:t>
      </w:r>
      <w:r w:rsidR="00C52A04" w:rsidRPr="00C52A04">
        <w:rPr>
          <w:rFonts w:asciiTheme="minorHAnsi" w:eastAsia="Times New Roman" w:hAnsiTheme="minorHAnsi" w:cstheme="minorHAnsi"/>
          <w:color w:val="0B0C0C"/>
          <w:sz w:val="24"/>
          <w:szCs w:val="24"/>
        </w:rPr>
        <w:t>personal agency</w:t>
      </w:r>
      <w:r w:rsidR="00B744A4">
        <w:rPr>
          <w:rFonts w:asciiTheme="minorHAnsi" w:eastAsia="Times New Roman" w:hAnsiTheme="minorHAnsi" w:cstheme="minorHAnsi"/>
          <w:color w:val="0B0C0C"/>
          <w:sz w:val="24"/>
          <w:szCs w:val="24"/>
        </w:rPr>
        <w:t xml:space="preserve">, </w:t>
      </w:r>
      <w:r w:rsidR="00F83304">
        <w:rPr>
          <w:rFonts w:asciiTheme="minorHAnsi" w:eastAsia="Times New Roman" w:hAnsiTheme="minorHAnsi" w:cstheme="minorHAnsi"/>
          <w:color w:val="0B0C0C"/>
          <w:sz w:val="24"/>
          <w:szCs w:val="24"/>
        </w:rPr>
        <w:t xml:space="preserve">and </w:t>
      </w:r>
      <w:r w:rsidR="00A22F13">
        <w:rPr>
          <w:rFonts w:asciiTheme="minorHAnsi" w:eastAsia="Times New Roman" w:hAnsiTheme="minorHAnsi" w:cstheme="minorHAnsi"/>
          <w:color w:val="0B0C0C"/>
          <w:sz w:val="24"/>
          <w:szCs w:val="24"/>
        </w:rPr>
        <w:t>assumes</w:t>
      </w:r>
      <w:r w:rsidR="00B61448">
        <w:rPr>
          <w:rFonts w:asciiTheme="minorHAnsi" w:eastAsia="Times New Roman" w:hAnsiTheme="minorHAnsi" w:cstheme="minorHAnsi"/>
          <w:color w:val="0B0C0C"/>
          <w:sz w:val="24"/>
          <w:szCs w:val="24"/>
        </w:rPr>
        <w:t xml:space="preserve"> that an individual’s reasoning for finding violence an attractive engine of change is inherently flawed</w:t>
      </w:r>
      <w:r w:rsidR="00A22F13">
        <w:rPr>
          <w:rFonts w:asciiTheme="minorHAnsi" w:eastAsia="Times New Roman" w:hAnsiTheme="minorHAnsi" w:cstheme="minorHAnsi"/>
          <w:color w:val="0B0C0C"/>
          <w:sz w:val="24"/>
          <w:szCs w:val="24"/>
        </w:rPr>
        <w:t xml:space="preserve"> and thus </w:t>
      </w:r>
      <w:r w:rsidR="00F457FA">
        <w:rPr>
          <w:rFonts w:asciiTheme="minorHAnsi" w:eastAsia="Times New Roman" w:hAnsiTheme="minorHAnsi" w:cstheme="minorHAnsi"/>
          <w:color w:val="0B0C0C"/>
          <w:sz w:val="24"/>
          <w:szCs w:val="24"/>
        </w:rPr>
        <w:t>can potentially be</w:t>
      </w:r>
      <w:r w:rsidR="00A22F13">
        <w:rPr>
          <w:rFonts w:asciiTheme="minorHAnsi" w:eastAsia="Times New Roman" w:hAnsiTheme="minorHAnsi" w:cstheme="minorHAnsi"/>
          <w:color w:val="0B0C0C"/>
          <w:sz w:val="24"/>
          <w:szCs w:val="24"/>
        </w:rPr>
        <w:t xml:space="preserve"> corrected</w:t>
      </w:r>
      <w:r w:rsidR="00F457FA">
        <w:rPr>
          <w:rFonts w:asciiTheme="minorHAnsi" w:eastAsia="Times New Roman" w:hAnsiTheme="minorHAnsi" w:cstheme="minorHAnsi"/>
          <w:color w:val="0B0C0C"/>
          <w:sz w:val="24"/>
          <w:szCs w:val="24"/>
        </w:rPr>
        <w:t xml:space="preserve"> through reasoned engagement</w:t>
      </w:r>
      <w:r w:rsidR="00B61448">
        <w:rPr>
          <w:rFonts w:asciiTheme="minorHAnsi" w:eastAsia="Times New Roman" w:hAnsiTheme="minorHAnsi" w:cstheme="minorHAnsi"/>
          <w:color w:val="0B0C0C"/>
          <w:sz w:val="24"/>
          <w:szCs w:val="24"/>
        </w:rPr>
        <w:t>.</w:t>
      </w:r>
      <w:r w:rsidR="00B61448" w:rsidRPr="00C52A04">
        <w:rPr>
          <w:rStyle w:val="FootnoteReference"/>
          <w:rFonts w:asciiTheme="minorHAnsi" w:eastAsia="Times New Roman" w:hAnsiTheme="minorHAnsi" w:cstheme="minorHAnsi"/>
          <w:color w:val="0B0C0C"/>
          <w:sz w:val="24"/>
          <w:szCs w:val="24"/>
        </w:rPr>
        <w:footnoteReference w:id="18"/>
      </w:r>
      <w:r w:rsidR="00B61448">
        <w:rPr>
          <w:rFonts w:asciiTheme="minorHAnsi" w:eastAsia="Times New Roman" w:hAnsiTheme="minorHAnsi" w:cstheme="minorHAnsi"/>
          <w:color w:val="0B0C0C"/>
          <w:sz w:val="24"/>
          <w:szCs w:val="24"/>
        </w:rPr>
        <w:t xml:space="preserve"> </w:t>
      </w:r>
    </w:p>
    <w:p w14:paraId="159AC099" w14:textId="77777777" w:rsidR="001B78C1" w:rsidRPr="00930FD8" w:rsidRDefault="001B78C1" w:rsidP="00C52A04">
      <w:pPr>
        <w:pStyle w:val="BodyText"/>
        <w:jc w:val="both"/>
        <w:rPr>
          <w:rFonts w:asciiTheme="minorHAnsi" w:eastAsia="Times New Roman" w:hAnsiTheme="minorHAnsi" w:cstheme="minorHAnsi"/>
          <w:color w:val="0B0C0C"/>
          <w:sz w:val="24"/>
          <w:szCs w:val="24"/>
        </w:rPr>
      </w:pPr>
    </w:p>
    <w:p w14:paraId="07D2E292" w14:textId="263BB471" w:rsidR="00D15510" w:rsidRPr="00930FD8" w:rsidRDefault="009A20B8" w:rsidP="007D5A2F">
      <w:pPr>
        <w:jc w:val="both"/>
        <w:rPr>
          <w:rFonts w:asciiTheme="minorHAnsi" w:hAnsiTheme="minorHAnsi" w:cstheme="minorHAnsi"/>
          <w:color w:val="000000" w:themeColor="text1"/>
        </w:rPr>
      </w:pPr>
      <w:r w:rsidRPr="00930FD8">
        <w:rPr>
          <w:rFonts w:asciiTheme="minorHAnsi" w:hAnsiTheme="minorHAnsi" w:cstheme="minorHAnsi"/>
          <w:color w:val="0B0C0C"/>
        </w:rPr>
        <w:t>However,</w:t>
      </w:r>
      <w:r w:rsidR="00430CA0" w:rsidRPr="00930FD8">
        <w:rPr>
          <w:rFonts w:asciiTheme="minorHAnsi" w:hAnsiTheme="minorHAnsi" w:cstheme="minorHAnsi"/>
          <w:color w:val="0B0C0C"/>
        </w:rPr>
        <w:t xml:space="preserve"> </w:t>
      </w:r>
      <w:r w:rsidR="00573A42" w:rsidRPr="00930FD8">
        <w:rPr>
          <w:rFonts w:asciiTheme="minorHAnsi" w:hAnsiTheme="minorHAnsi" w:cstheme="minorHAnsi"/>
          <w:color w:val="0B0C0C"/>
        </w:rPr>
        <w:t xml:space="preserve">the </w:t>
      </w:r>
      <w:r w:rsidR="00430CA0" w:rsidRPr="00930FD8">
        <w:rPr>
          <w:rFonts w:asciiTheme="minorHAnsi" w:hAnsiTheme="minorHAnsi" w:cstheme="minorHAnsi"/>
          <w:color w:val="0B0C0C"/>
        </w:rPr>
        <w:t>remaining two categories of driver</w:t>
      </w:r>
      <w:r w:rsidRPr="00930FD8">
        <w:rPr>
          <w:rFonts w:asciiTheme="minorHAnsi" w:hAnsiTheme="minorHAnsi" w:cstheme="minorHAnsi"/>
          <w:color w:val="0B0C0C"/>
        </w:rPr>
        <w:t xml:space="preserve"> </w:t>
      </w:r>
      <w:r w:rsidR="0050571A" w:rsidRPr="00930FD8">
        <w:rPr>
          <w:rFonts w:asciiTheme="minorHAnsi" w:hAnsiTheme="minorHAnsi" w:cstheme="minorHAnsi"/>
          <w:color w:val="0B0C0C"/>
        </w:rPr>
        <w:t xml:space="preserve">commonly </w:t>
      </w:r>
      <w:r w:rsidRPr="00930FD8">
        <w:rPr>
          <w:rFonts w:asciiTheme="minorHAnsi" w:hAnsiTheme="minorHAnsi" w:cstheme="minorHAnsi"/>
          <w:color w:val="0B0C0C"/>
        </w:rPr>
        <w:t>found in the radicalization literature</w:t>
      </w:r>
      <w:r w:rsidR="00430CA0" w:rsidRPr="00930FD8">
        <w:rPr>
          <w:rFonts w:asciiTheme="minorHAnsi" w:hAnsiTheme="minorHAnsi" w:cstheme="minorHAnsi"/>
          <w:color w:val="0B0C0C"/>
        </w:rPr>
        <w:t xml:space="preserve"> turn the</w:t>
      </w:r>
      <w:r w:rsidR="004D03F2">
        <w:rPr>
          <w:rFonts w:asciiTheme="minorHAnsi" w:hAnsiTheme="minorHAnsi" w:cstheme="minorHAnsi"/>
          <w:color w:val="0B0C0C"/>
        </w:rPr>
        <w:t xml:space="preserve"> focus</w:t>
      </w:r>
      <w:r w:rsidR="00430CA0" w:rsidRPr="00930FD8">
        <w:rPr>
          <w:rFonts w:asciiTheme="minorHAnsi" w:hAnsiTheme="minorHAnsi" w:cstheme="minorHAnsi"/>
          <w:color w:val="0B0C0C"/>
        </w:rPr>
        <w:t xml:space="preserve"> </w:t>
      </w:r>
      <w:r w:rsidR="009C12B3" w:rsidRPr="00930FD8">
        <w:rPr>
          <w:rFonts w:asciiTheme="minorHAnsi" w:hAnsiTheme="minorHAnsi" w:cstheme="minorHAnsi"/>
          <w:color w:val="0B0C0C"/>
        </w:rPr>
        <w:t xml:space="preserve">firmly </w:t>
      </w:r>
      <w:r w:rsidR="00430CA0" w:rsidRPr="00930FD8">
        <w:rPr>
          <w:rFonts w:asciiTheme="minorHAnsi" w:hAnsiTheme="minorHAnsi" w:cstheme="minorHAnsi"/>
          <w:color w:val="0B0C0C"/>
        </w:rPr>
        <w:t>back onto the state</w:t>
      </w:r>
      <w:r w:rsidR="009C12B3" w:rsidRPr="00930FD8">
        <w:rPr>
          <w:rFonts w:asciiTheme="minorHAnsi" w:hAnsiTheme="minorHAnsi" w:cstheme="minorHAnsi"/>
          <w:color w:val="0B0C0C"/>
        </w:rPr>
        <w:t xml:space="preserve">, and this can be extremely challenging for states to respond to effectively, not least because it can profoundly challenge their own deep-seated beliefs and self-image, as well as established political positions. </w:t>
      </w:r>
      <w:r w:rsidR="007D5A2F" w:rsidRPr="00930FD8">
        <w:rPr>
          <w:rFonts w:asciiTheme="minorHAnsi" w:hAnsiTheme="minorHAnsi" w:cstheme="minorHAnsi"/>
          <w:color w:val="0B0C0C"/>
        </w:rPr>
        <w:t xml:space="preserve">As the </w:t>
      </w:r>
      <w:r w:rsidR="00453D4F" w:rsidRPr="00930FD8">
        <w:rPr>
          <w:rFonts w:asciiTheme="minorHAnsi" w:hAnsiTheme="minorHAnsi" w:cstheme="minorHAnsi"/>
          <w:color w:val="0B0C0C"/>
        </w:rPr>
        <w:t xml:space="preserve">former </w:t>
      </w:r>
      <w:r w:rsidR="007D5A2F" w:rsidRPr="00930FD8">
        <w:rPr>
          <w:rFonts w:asciiTheme="minorHAnsi" w:hAnsiTheme="minorHAnsi" w:cstheme="minorHAnsi"/>
          <w:color w:val="000000" w:themeColor="text1"/>
        </w:rPr>
        <w:t xml:space="preserve">UN Special Rapporteur on the promotion and protection of human rights and fundamental freedoms while countering terrorism, Ben Emmerson, has noted: “States have tended to focus on those </w:t>
      </w:r>
      <w:r w:rsidR="00F457FA">
        <w:rPr>
          <w:rFonts w:asciiTheme="minorHAnsi" w:hAnsiTheme="minorHAnsi" w:cstheme="minorHAnsi"/>
          <w:color w:val="000000" w:themeColor="text1"/>
        </w:rPr>
        <w:t xml:space="preserve">[drivers] </w:t>
      </w:r>
      <w:r w:rsidR="007D5A2F" w:rsidRPr="00930FD8">
        <w:rPr>
          <w:rFonts w:asciiTheme="minorHAnsi" w:hAnsiTheme="minorHAnsi" w:cstheme="minorHAnsi"/>
          <w:color w:val="000000" w:themeColor="text1"/>
        </w:rPr>
        <w:t>that are most appealing to them, shying away from the more complex issues, including political issues such as foreign policy and transnational conflicts.”</w:t>
      </w:r>
      <w:r w:rsidR="007D5A2F" w:rsidRPr="00930FD8">
        <w:rPr>
          <w:rStyle w:val="FootnoteReference"/>
          <w:rFonts w:asciiTheme="minorHAnsi" w:hAnsiTheme="minorHAnsi" w:cstheme="minorHAnsi"/>
          <w:color w:val="000000" w:themeColor="text1"/>
        </w:rPr>
        <w:footnoteReference w:id="19"/>
      </w:r>
      <w:r w:rsidR="007D5A2F" w:rsidRPr="00930FD8">
        <w:rPr>
          <w:rFonts w:asciiTheme="minorHAnsi" w:hAnsiTheme="minorHAnsi" w:cstheme="minorHAnsi"/>
          <w:color w:val="000000" w:themeColor="text1"/>
        </w:rPr>
        <w:t xml:space="preserve"> </w:t>
      </w:r>
      <w:r w:rsidR="00552710" w:rsidRPr="00930FD8">
        <w:rPr>
          <w:rFonts w:asciiTheme="minorHAnsi" w:hAnsiTheme="minorHAnsi" w:cstheme="minorHAnsi"/>
          <w:color w:val="0B0C0C"/>
        </w:rPr>
        <w:t xml:space="preserve">Structural inequalities that lead to social, economic and political exclusion for minority groups can be difficult for states, politicians, and majoritarian communities to acknowledge, </w:t>
      </w:r>
      <w:r w:rsidR="00322A67" w:rsidRPr="00930FD8">
        <w:rPr>
          <w:rFonts w:asciiTheme="minorHAnsi" w:hAnsiTheme="minorHAnsi" w:cstheme="minorHAnsi"/>
          <w:color w:val="0B0C0C"/>
        </w:rPr>
        <w:t>especially</w:t>
      </w:r>
      <w:r w:rsidR="00552710" w:rsidRPr="00930FD8">
        <w:rPr>
          <w:rFonts w:asciiTheme="minorHAnsi" w:hAnsiTheme="minorHAnsi" w:cstheme="minorHAnsi"/>
          <w:color w:val="0B0C0C"/>
        </w:rPr>
        <w:t xml:space="preserve"> </w:t>
      </w:r>
      <w:r w:rsidR="00A4443F" w:rsidRPr="00930FD8">
        <w:rPr>
          <w:rFonts w:asciiTheme="minorHAnsi" w:hAnsiTheme="minorHAnsi" w:cstheme="minorHAnsi"/>
          <w:color w:val="0B0C0C"/>
        </w:rPr>
        <w:t xml:space="preserve">as they may require compromise or sacrifice </w:t>
      </w:r>
      <w:r w:rsidR="00DD04FE" w:rsidRPr="00930FD8">
        <w:rPr>
          <w:rFonts w:asciiTheme="minorHAnsi" w:hAnsiTheme="minorHAnsi" w:cstheme="minorHAnsi"/>
          <w:color w:val="0B0C0C"/>
        </w:rPr>
        <w:t xml:space="preserve">to address. </w:t>
      </w:r>
      <w:r w:rsidR="00252FBD" w:rsidRPr="00930FD8">
        <w:rPr>
          <w:rFonts w:asciiTheme="minorHAnsi" w:hAnsiTheme="minorHAnsi" w:cstheme="minorHAnsi"/>
          <w:color w:val="0B0C0C"/>
        </w:rPr>
        <w:t xml:space="preserve">State violence, especially </w:t>
      </w:r>
      <w:r w:rsidR="00322A67" w:rsidRPr="00930FD8">
        <w:rPr>
          <w:rFonts w:asciiTheme="minorHAnsi" w:hAnsiTheme="minorHAnsi" w:cstheme="minorHAnsi"/>
          <w:color w:val="0B0C0C"/>
        </w:rPr>
        <w:t xml:space="preserve">when it involves the kind of </w:t>
      </w:r>
      <w:r w:rsidR="00252FBD" w:rsidRPr="00930FD8">
        <w:rPr>
          <w:rFonts w:asciiTheme="minorHAnsi" w:hAnsiTheme="minorHAnsi" w:cstheme="minorHAnsi"/>
          <w:color w:val="0B0C0C"/>
        </w:rPr>
        <w:t xml:space="preserve">unlawful acts that fall into the category of human rights abuse, </w:t>
      </w:r>
      <w:r w:rsidR="00A4443F" w:rsidRPr="00930FD8">
        <w:rPr>
          <w:rFonts w:asciiTheme="minorHAnsi" w:hAnsiTheme="minorHAnsi" w:cstheme="minorHAnsi"/>
          <w:color w:val="0B0C0C"/>
        </w:rPr>
        <w:t>is an even</w:t>
      </w:r>
      <w:r w:rsidR="00252FBD" w:rsidRPr="00930FD8">
        <w:rPr>
          <w:rFonts w:asciiTheme="minorHAnsi" w:hAnsiTheme="minorHAnsi" w:cstheme="minorHAnsi"/>
          <w:color w:val="0B0C0C"/>
        </w:rPr>
        <w:t xml:space="preserve"> more difficult subject to navigate</w:t>
      </w:r>
      <w:r w:rsidR="00A4443F" w:rsidRPr="00930FD8">
        <w:rPr>
          <w:rFonts w:asciiTheme="minorHAnsi" w:hAnsiTheme="minorHAnsi" w:cstheme="minorHAnsi"/>
          <w:color w:val="0B0C0C"/>
        </w:rPr>
        <w:t>. Some such acts are contested, the facts in dispute, some, state actors might feel are justified in the circumstances, others, like extraordinary rendition or targeted killing, may even be secret and formally denied.</w:t>
      </w:r>
      <w:r w:rsidR="00252FBD" w:rsidRPr="00930FD8">
        <w:rPr>
          <w:rFonts w:asciiTheme="minorHAnsi" w:hAnsiTheme="minorHAnsi" w:cstheme="minorHAnsi"/>
          <w:color w:val="0B0C0C"/>
        </w:rPr>
        <w:t xml:space="preserve"> </w:t>
      </w:r>
      <w:r w:rsidR="00DD04FE" w:rsidRPr="00930FD8">
        <w:rPr>
          <w:rFonts w:asciiTheme="minorHAnsi" w:hAnsiTheme="minorHAnsi" w:cstheme="minorHAnsi"/>
          <w:color w:val="0B0C0C"/>
        </w:rPr>
        <w:t xml:space="preserve">Yet, we know </w:t>
      </w:r>
      <w:r w:rsidR="00D931DA" w:rsidRPr="00930FD8">
        <w:rPr>
          <w:rFonts w:asciiTheme="minorHAnsi" w:hAnsiTheme="minorHAnsi" w:cstheme="minorHAnsi"/>
          <w:color w:val="0B0C0C"/>
        </w:rPr>
        <w:t xml:space="preserve">from a wide range of both quantitative and qualitative </w:t>
      </w:r>
      <w:r w:rsidR="00A21E5F" w:rsidRPr="00930FD8">
        <w:rPr>
          <w:rFonts w:asciiTheme="minorHAnsi" w:hAnsiTheme="minorHAnsi" w:cstheme="minorHAnsi"/>
          <w:color w:val="0B0C0C"/>
        </w:rPr>
        <w:t xml:space="preserve">studies that adverse state security actor conduct is, in the words of </w:t>
      </w:r>
      <w:r w:rsidR="00A21E5F" w:rsidRPr="00930FD8">
        <w:rPr>
          <w:rFonts w:asciiTheme="minorHAnsi" w:hAnsiTheme="minorHAnsi" w:cstheme="minorHAnsi"/>
          <w:color w:val="000000" w:themeColor="text1"/>
        </w:rPr>
        <w:t xml:space="preserve">a </w:t>
      </w:r>
      <w:r w:rsidR="00DA49D0" w:rsidRPr="00930FD8">
        <w:rPr>
          <w:rFonts w:asciiTheme="minorHAnsi" w:hAnsiTheme="minorHAnsi" w:cstheme="minorHAnsi"/>
          <w:color w:val="000000" w:themeColor="text1"/>
        </w:rPr>
        <w:t xml:space="preserve">2017 </w:t>
      </w:r>
      <w:r w:rsidR="00A21E5F" w:rsidRPr="00930FD8">
        <w:rPr>
          <w:rFonts w:asciiTheme="minorHAnsi" w:hAnsiTheme="minorHAnsi" w:cstheme="minorHAnsi"/>
          <w:color w:val="000000" w:themeColor="text1"/>
        </w:rPr>
        <w:t xml:space="preserve">transnational United Nations Development </w:t>
      </w:r>
      <w:proofErr w:type="spellStart"/>
      <w:r w:rsidR="00A21E5F" w:rsidRPr="00930FD8">
        <w:rPr>
          <w:rFonts w:asciiTheme="minorHAnsi" w:hAnsiTheme="minorHAnsi" w:cstheme="minorHAnsi"/>
          <w:color w:val="000000" w:themeColor="text1"/>
        </w:rPr>
        <w:t>Programme</w:t>
      </w:r>
      <w:proofErr w:type="spellEnd"/>
      <w:r w:rsidR="00A21E5F" w:rsidRPr="00930FD8">
        <w:rPr>
          <w:rFonts w:asciiTheme="minorHAnsi" w:hAnsiTheme="minorHAnsi" w:cstheme="minorHAnsi"/>
          <w:color w:val="000000" w:themeColor="text1"/>
        </w:rPr>
        <w:t xml:space="preserve"> </w:t>
      </w:r>
      <w:r w:rsidR="00A21E5F" w:rsidRPr="00930FD8">
        <w:rPr>
          <w:rFonts w:asciiTheme="minorHAnsi" w:hAnsiTheme="minorHAnsi" w:cstheme="minorHAnsi"/>
          <w:color w:val="000000" w:themeColor="text1"/>
          <w:spacing w:val="-3"/>
        </w:rPr>
        <w:t>study on violent extremism in Africa,</w:t>
      </w:r>
      <w:r w:rsidR="00A21E5F" w:rsidRPr="00930FD8">
        <w:rPr>
          <w:rFonts w:asciiTheme="minorHAnsi" w:hAnsiTheme="minorHAnsi" w:cstheme="minorHAnsi"/>
          <w:color w:val="0B0C0C"/>
        </w:rPr>
        <w:t xml:space="preserve"> </w:t>
      </w:r>
      <w:r w:rsidR="00A21E5F" w:rsidRPr="00930FD8">
        <w:rPr>
          <w:rFonts w:asciiTheme="minorHAnsi" w:hAnsiTheme="minorHAnsi" w:cstheme="minorHAnsi"/>
          <w:color w:val="000000" w:themeColor="text1"/>
        </w:rPr>
        <w:t>“a prominent accelerator of recruitment.”</w:t>
      </w:r>
      <w:r w:rsidR="00D861A6" w:rsidRPr="00930FD8">
        <w:rPr>
          <w:rStyle w:val="FootnoteReference"/>
          <w:rFonts w:asciiTheme="minorHAnsi" w:hAnsiTheme="minorHAnsi" w:cstheme="minorHAnsi"/>
          <w:color w:val="000000" w:themeColor="text1"/>
        </w:rPr>
        <w:footnoteReference w:id="20"/>
      </w:r>
      <w:r w:rsidR="00A21E5F" w:rsidRPr="00930FD8">
        <w:rPr>
          <w:rFonts w:asciiTheme="minorHAnsi" w:hAnsiTheme="minorHAnsi" w:cstheme="minorHAnsi"/>
          <w:color w:val="000000" w:themeColor="text1"/>
        </w:rPr>
        <w:t xml:space="preserve"> Indeed</w:t>
      </w:r>
      <w:r w:rsidR="00D861A6" w:rsidRPr="00930FD8">
        <w:rPr>
          <w:rFonts w:asciiTheme="minorHAnsi" w:hAnsiTheme="minorHAnsi" w:cstheme="minorHAnsi"/>
          <w:color w:val="000000" w:themeColor="text1"/>
        </w:rPr>
        <w:t xml:space="preserve">, </w:t>
      </w:r>
      <w:r w:rsidR="004608FF" w:rsidRPr="00930FD8">
        <w:rPr>
          <w:rFonts w:asciiTheme="minorHAnsi" w:hAnsiTheme="minorHAnsi" w:cstheme="minorHAnsi"/>
          <w:color w:val="000000" w:themeColor="text1"/>
        </w:rPr>
        <w:t xml:space="preserve">the </w:t>
      </w:r>
      <w:r w:rsidR="00655A93" w:rsidRPr="00930FD8">
        <w:rPr>
          <w:rFonts w:asciiTheme="minorHAnsi" w:hAnsiTheme="minorHAnsi" w:cstheme="minorHAnsi"/>
          <w:color w:val="000000" w:themeColor="text1"/>
        </w:rPr>
        <w:t xml:space="preserve">preponderance </w:t>
      </w:r>
      <w:r w:rsidR="00655A93" w:rsidRPr="00930FD8">
        <w:rPr>
          <w:rFonts w:asciiTheme="minorHAnsi" w:hAnsiTheme="minorHAnsi" w:cstheme="minorHAnsi"/>
          <w:color w:val="000000" w:themeColor="text1"/>
        </w:rPr>
        <w:lastRenderedPageBreak/>
        <w:t xml:space="preserve">of </w:t>
      </w:r>
      <w:r w:rsidR="004608FF" w:rsidRPr="00930FD8">
        <w:rPr>
          <w:rFonts w:asciiTheme="minorHAnsi" w:hAnsiTheme="minorHAnsi" w:cstheme="minorHAnsi"/>
          <w:color w:val="000000" w:themeColor="text1"/>
        </w:rPr>
        <w:t>research suggests that human rights abuses</w:t>
      </w:r>
      <w:r w:rsidR="00D861A6" w:rsidRPr="00930FD8">
        <w:rPr>
          <w:rFonts w:asciiTheme="minorHAnsi" w:hAnsiTheme="minorHAnsi" w:cstheme="minorHAnsi"/>
          <w:color w:val="000000" w:themeColor="text1"/>
        </w:rPr>
        <w:t xml:space="preserve"> probably</w:t>
      </w:r>
      <w:r w:rsidR="004608FF" w:rsidRPr="00930FD8">
        <w:rPr>
          <w:rFonts w:asciiTheme="minorHAnsi" w:hAnsiTheme="minorHAnsi" w:cstheme="minorHAnsi"/>
          <w:color w:val="000000" w:themeColor="text1"/>
        </w:rPr>
        <w:t xml:space="preserve"> rank as</w:t>
      </w:r>
      <w:r w:rsidR="00D861A6" w:rsidRPr="00930FD8">
        <w:rPr>
          <w:rFonts w:asciiTheme="minorHAnsi" w:hAnsiTheme="minorHAnsi" w:cstheme="minorHAnsi"/>
          <w:color w:val="000000" w:themeColor="text1"/>
        </w:rPr>
        <w:t xml:space="preserve"> the most significant driver </w:t>
      </w:r>
      <w:r w:rsidR="00DA49D0" w:rsidRPr="00930FD8">
        <w:rPr>
          <w:rFonts w:asciiTheme="minorHAnsi" w:hAnsiTheme="minorHAnsi" w:cstheme="minorHAnsi"/>
          <w:color w:val="000000" w:themeColor="text1"/>
        </w:rPr>
        <w:t>o</w:t>
      </w:r>
      <w:r w:rsidR="00D861A6" w:rsidRPr="00930FD8">
        <w:rPr>
          <w:rFonts w:asciiTheme="minorHAnsi" w:hAnsiTheme="minorHAnsi" w:cstheme="minorHAnsi"/>
          <w:color w:val="000000" w:themeColor="text1"/>
        </w:rPr>
        <w:t xml:space="preserve">f </w:t>
      </w:r>
      <w:r w:rsidR="002866C4" w:rsidRPr="00930FD8">
        <w:rPr>
          <w:rFonts w:asciiTheme="minorHAnsi" w:hAnsiTheme="minorHAnsi" w:cstheme="minorHAnsi"/>
          <w:color w:val="000000" w:themeColor="text1"/>
        </w:rPr>
        <w:t xml:space="preserve">violent extremism of </w:t>
      </w:r>
      <w:r w:rsidR="00D861A6" w:rsidRPr="00930FD8">
        <w:rPr>
          <w:rFonts w:asciiTheme="minorHAnsi" w:hAnsiTheme="minorHAnsi" w:cstheme="minorHAnsi"/>
          <w:color w:val="000000" w:themeColor="text1"/>
        </w:rPr>
        <w:t>all.</w:t>
      </w:r>
      <w:r w:rsidR="004608FF" w:rsidRPr="00930FD8">
        <w:rPr>
          <w:rStyle w:val="FootnoteReference"/>
          <w:rFonts w:asciiTheme="minorHAnsi" w:hAnsiTheme="minorHAnsi" w:cstheme="minorHAnsi"/>
          <w:color w:val="000000" w:themeColor="text1"/>
        </w:rPr>
        <w:footnoteReference w:id="21"/>
      </w:r>
      <w:r w:rsidR="00D861A6" w:rsidRPr="00930FD8">
        <w:rPr>
          <w:rFonts w:asciiTheme="minorHAnsi" w:hAnsiTheme="minorHAnsi" w:cstheme="minorHAnsi"/>
          <w:color w:val="000000" w:themeColor="text1"/>
        </w:rPr>
        <w:t xml:space="preserve"> </w:t>
      </w:r>
      <w:r w:rsidR="004D03F2">
        <w:rPr>
          <w:rFonts w:asciiTheme="minorHAnsi" w:hAnsiTheme="minorHAnsi" w:cstheme="minorHAnsi"/>
          <w:color w:val="000000" w:themeColor="text1"/>
        </w:rPr>
        <w:t>Yet b</w:t>
      </w:r>
      <w:r w:rsidR="002866C4" w:rsidRPr="00930FD8">
        <w:rPr>
          <w:rFonts w:asciiTheme="minorHAnsi" w:hAnsiTheme="minorHAnsi" w:cstheme="minorHAnsi"/>
          <w:color w:val="000000" w:themeColor="text1"/>
        </w:rPr>
        <w:t xml:space="preserve">ecause these </w:t>
      </w:r>
      <w:r w:rsidR="004E3B85" w:rsidRPr="00930FD8">
        <w:rPr>
          <w:rFonts w:asciiTheme="minorHAnsi" w:hAnsiTheme="minorHAnsi" w:cstheme="minorHAnsi"/>
          <w:color w:val="000000" w:themeColor="text1"/>
        </w:rPr>
        <w:t>structural</w:t>
      </w:r>
      <w:r w:rsidR="002866C4" w:rsidRPr="00930FD8">
        <w:rPr>
          <w:rFonts w:asciiTheme="minorHAnsi" w:hAnsiTheme="minorHAnsi" w:cstheme="minorHAnsi"/>
          <w:color w:val="000000" w:themeColor="text1"/>
        </w:rPr>
        <w:t xml:space="preserve"> drivers are so much more problematic</w:t>
      </w:r>
      <w:r w:rsidR="004E3B85" w:rsidRPr="00930FD8">
        <w:rPr>
          <w:rFonts w:asciiTheme="minorHAnsi" w:hAnsiTheme="minorHAnsi" w:cstheme="minorHAnsi"/>
          <w:color w:val="000000" w:themeColor="text1"/>
        </w:rPr>
        <w:t xml:space="preserve"> they feature far less prominently in most PVE programming. This is not to say that some PVE </w:t>
      </w:r>
      <w:proofErr w:type="spellStart"/>
      <w:r w:rsidR="004E3B85" w:rsidRPr="00930FD8">
        <w:rPr>
          <w:rFonts w:asciiTheme="minorHAnsi" w:hAnsiTheme="minorHAnsi" w:cstheme="minorHAnsi"/>
          <w:color w:val="000000" w:themeColor="text1"/>
        </w:rPr>
        <w:t>programmes</w:t>
      </w:r>
      <w:proofErr w:type="spellEnd"/>
      <w:r w:rsidR="004E3B85" w:rsidRPr="00930FD8">
        <w:rPr>
          <w:rFonts w:asciiTheme="minorHAnsi" w:hAnsiTheme="minorHAnsi" w:cstheme="minorHAnsi"/>
          <w:color w:val="000000" w:themeColor="text1"/>
        </w:rPr>
        <w:t xml:space="preserve"> do not try to address social inequalities by providing pedagogical or vocational education opportunities, </w:t>
      </w:r>
      <w:r w:rsidR="00322A67" w:rsidRPr="00930FD8">
        <w:rPr>
          <w:rFonts w:asciiTheme="minorHAnsi" w:hAnsiTheme="minorHAnsi" w:cstheme="minorHAnsi"/>
          <w:color w:val="000000" w:themeColor="text1"/>
        </w:rPr>
        <w:t xml:space="preserve">mobilizing welfare support, </w:t>
      </w:r>
      <w:r w:rsidR="004E3B85" w:rsidRPr="00930FD8">
        <w:rPr>
          <w:rFonts w:asciiTheme="minorHAnsi" w:hAnsiTheme="minorHAnsi" w:cstheme="minorHAnsi"/>
          <w:color w:val="000000" w:themeColor="text1"/>
        </w:rPr>
        <w:t>o</w:t>
      </w:r>
      <w:r w:rsidR="00322A67" w:rsidRPr="00930FD8">
        <w:rPr>
          <w:rFonts w:asciiTheme="minorHAnsi" w:hAnsiTheme="minorHAnsi" w:cstheme="minorHAnsi"/>
          <w:color w:val="000000" w:themeColor="text1"/>
        </w:rPr>
        <w:t>r</w:t>
      </w:r>
      <w:r w:rsidR="004E3B85" w:rsidRPr="00930FD8">
        <w:rPr>
          <w:rFonts w:asciiTheme="minorHAnsi" w:hAnsiTheme="minorHAnsi" w:cstheme="minorHAnsi"/>
          <w:color w:val="000000" w:themeColor="text1"/>
        </w:rPr>
        <w:t xml:space="preserve"> finding space for community outreach or civil society engagement, but the emphasis </w:t>
      </w:r>
      <w:r w:rsidR="00670321" w:rsidRPr="00930FD8">
        <w:rPr>
          <w:rFonts w:asciiTheme="minorHAnsi" w:hAnsiTheme="minorHAnsi" w:cstheme="minorHAnsi"/>
          <w:color w:val="000000" w:themeColor="text1"/>
        </w:rPr>
        <w:t>nonetheless tends to consistently remain on the individual’s need to change, and not society’s.</w:t>
      </w:r>
      <w:r w:rsidR="00D111E9" w:rsidRPr="00930FD8">
        <w:rPr>
          <w:rStyle w:val="FootnoteReference"/>
          <w:rFonts w:asciiTheme="minorHAnsi" w:hAnsiTheme="minorHAnsi" w:cstheme="minorHAnsi"/>
          <w:color w:val="000000" w:themeColor="text1"/>
        </w:rPr>
        <w:footnoteReference w:id="22"/>
      </w:r>
    </w:p>
    <w:p w14:paraId="0E043962" w14:textId="77777777" w:rsidR="00D15510" w:rsidRPr="00F3398D" w:rsidRDefault="00D15510" w:rsidP="00C52A04">
      <w:pPr>
        <w:pStyle w:val="BodyText"/>
        <w:jc w:val="both"/>
        <w:rPr>
          <w:rFonts w:asciiTheme="minorHAnsi" w:hAnsiTheme="minorHAnsi" w:cstheme="minorHAnsi"/>
          <w:i/>
          <w:iCs/>
          <w:color w:val="000000" w:themeColor="text1"/>
          <w:sz w:val="24"/>
          <w:szCs w:val="24"/>
        </w:rPr>
      </w:pPr>
    </w:p>
    <w:p w14:paraId="65CCF282" w14:textId="73A0A490" w:rsidR="001B78C1" w:rsidRPr="00F3398D" w:rsidRDefault="00F3398D" w:rsidP="00C52A04">
      <w:pPr>
        <w:pStyle w:val="BodyText"/>
        <w:jc w:val="both"/>
        <w:rPr>
          <w:rFonts w:asciiTheme="minorHAnsi" w:eastAsia="Times New Roman" w:hAnsiTheme="minorHAnsi" w:cstheme="minorHAnsi"/>
          <w:i/>
          <w:iCs/>
          <w:color w:val="0B0C0C"/>
          <w:sz w:val="24"/>
          <w:szCs w:val="24"/>
        </w:rPr>
      </w:pPr>
      <w:r w:rsidRPr="00F3398D">
        <w:rPr>
          <w:rFonts w:asciiTheme="minorHAnsi" w:eastAsia="Times New Roman" w:hAnsiTheme="minorHAnsi" w:cstheme="minorHAnsi"/>
          <w:i/>
          <w:iCs/>
          <w:color w:val="0B0C0C"/>
          <w:sz w:val="24"/>
          <w:szCs w:val="24"/>
        </w:rPr>
        <w:t xml:space="preserve">The Prevent </w:t>
      </w:r>
      <w:proofErr w:type="spellStart"/>
      <w:r w:rsidRPr="00F3398D">
        <w:rPr>
          <w:rFonts w:asciiTheme="minorHAnsi" w:eastAsia="Times New Roman" w:hAnsiTheme="minorHAnsi" w:cstheme="minorHAnsi"/>
          <w:i/>
          <w:iCs/>
          <w:color w:val="0B0C0C"/>
          <w:sz w:val="24"/>
          <w:szCs w:val="24"/>
        </w:rPr>
        <w:t>Programme</w:t>
      </w:r>
      <w:proofErr w:type="spellEnd"/>
    </w:p>
    <w:p w14:paraId="297E711F" w14:textId="77777777" w:rsidR="00F3398D" w:rsidRDefault="00F3398D" w:rsidP="00F3398D">
      <w:pPr>
        <w:pStyle w:val="BodyText"/>
        <w:jc w:val="both"/>
        <w:rPr>
          <w:rFonts w:asciiTheme="minorHAnsi" w:eastAsia="Times New Roman" w:hAnsiTheme="minorHAnsi" w:cstheme="minorHAnsi"/>
          <w:sz w:val="24"/>
          <w:szCs w:val="24"/>
        </w:rPr>
      </w:pPr>
    </w:p>
    <w:p w14:paraId="56017E10" w14:textId="5A268B6F" w:rsidR="00CC41C1" w:rsidRPr="00F66450" w:rsidRDefault="00F3398D" w:rsidP="00F3398D">
      <w:pPr>
        <w:pStyle w:val="BodyText"/>
        <w:jc w:val="both"/>
        <w:rPr>
          <w:rFonts w:asciiTheme="minorHAnsi" w:eastAsia="Times New Roman" w:hAnsiTheme="minorHAnsi" w:cstheme="minorHAnsi"/>
          <w:sz w:val="24"/>
          <w:szCs w:val="24"/>
        </w:rPr>
      </w:pPr>
      <w:r w:rsidRPr="00325344">
        <w:rPr>
          <w:rFonts w:asciiTheme="minorHAnsi" w:eastAsia="Times New Roman" w:hAnsiTheme="minorHAnsi" w:cstheme="minorHAnsi"/>
          <w:sz w:val="24"/>
          <w:szCs w:val="24"/>
        </w:rPr>
        <w:t xml:space="preserve">Prevent </w:t>
      </w:r>
      <w:r w:rsidR="00E36A89">
        <w:rPr>
          <w:rFonts w:asciiTheme="minorHAnsi" w:eastAsia="Times New Roman" w:hAnsiTheme="minorHAnsi" w:cstheme="minorHAnsi"/>
          <w:sz w:val="24"/>
          <w:szCs w:val="24"/>
        </w:rPr>
        <w:t>is</w:t>
      </w:r>
      <w:r w:rsidRPr="00325344">
        <w:rPr>
          <w:rFonts w:asciiTheme="minorHAnsi" w:eastAsia="Times New Roman" w:hAnsiTheme="minorHAnsi" w:cstheme="minorHAnsi"/>
          <w:sz w:val="24"/>
          <w:szCs w:val="24"/>
        </w:rPr>
        <w:t xml:space="preserve"> one of four pillars of the British Contest counter-terrorism strategy</w:t>
      </w:r>
      <w:r w:rsidR="00CC41C1">
        <w:rPr>
          <w:rFonts w:asciiTheme="minorHAnsi" w:eastAsia="Times New Roman" w:hAnsiTheme="minorHAnsi" w:cstheme="minorHAnsi"/>
          <w:sz w:val="24"/>
          <w:szCs w:val="24"/>
        </w:rPr>
        <w:t>,</w:t>
      </w:r>
      <w:r w:rsidRPr="00325344">
        <w:rPr>
          <w:rFonts w:asciiTheme="minorHAnsi" w:eastAsia="Times New Roman" w:hAnsiTheme="minorHAnsi" w:cstheme="minorHAnsi"/>
          <w:sz w:val="24"/>
          <w:szCs w:val="24"/>
        </w:rPr>
        <w:t xml:space="preserve"> adopted by Prime Minister Tony Blair’s government in 2003 </w:t>
      </w:r>
      <w:r w:rsidR="002D15A8">
        <w:rPr>
          <w:rFonts w:asciiTheme="minorHAnsi" w:eastAsia="Times New Roman" w:hAnsiTheme="minorHAnsi" w:cstheme="minorHAnsi"/>
          <w:sz w:val="24"/>
          <w:szCs w:val="24"/>
        </w:rPr>
        <w:t xml:space="preserve">and first shared with the general public in 2006 </w:t>
      </w:r>
      <w:r w:rsidRPr="00325344">
        <w:rPr>
          <w:rFonts w:asciiTheme="minorHAnsi" w:eastAsia="Times New Roman" w:hAnsiTheme="minorHAnsi" w:cstheme="minorHAnsi"/>
          <w:sz w:val="24"/>
          <w:szCs w:val="24"/>
        </w:rPr>
        <w:t xml:space="preserve">– the other pillars being Pursue, Protect and Prepare. In its </w:t>
      </w:r>
      <w:r w:rsidR="00655A93">
        <w:rPr>
          <w:rFonts w:asciiTheme="minorHAnsi" w:eastAsia="Times New Roman" w:hAnsiTheme="minorHAnsi" w:cstheme="minorHAnsi"/>
          <w:sz w:val="24"/>
          <w:szCs w:val="24"/>
        </w:rPr>
        <w:t>initial</w:t>
      </w:r>
      <w:r w:rsidRPr="00325344">
        <w:rPr>
          <w:rFonts w:asciiTheme="minorHAnsi" w:eastAsia="Times New Roman" w:hAnsiTheme="minorHAnsi" w:cstheme="minorHAnsi"/>
          <w:sz w:val="24"/>
          <w:szCs w:val="24"/>
        </w:rPr>
        <w:t xml:space="preserve"> phase, conceptualized in the aftermath of the 9/11 attacks, </w:t>
      </w:r>
      <w:proofErr w:type="spellStart"/>
      <w:r w:rsidRPr="00325344">
        <w:rPr>
          <w:rFonts w:asciiTheme="minorHAnsi" w:eastAsia="Times New Roman" w:hAnsiTheme="minorHAnsi" w:cstheme="minorHAnsi"/>
          <w:sz w:val="24"/>
          <w:szCs w:val="24"/>
        </w:rPr>
        <w:t>Prevent’s</w:t>
      </w:r>
      <w:proofErr w:type="spellEnd"/>
      <w:r w:rsidRPr="00325344">
        <w:rPr>
          <w:rFonts w:asciiTheme="minorHAnsi" w:eastAsia="Times New Roman" w:hAnsiTheme="minorHAnsi" w:cstheme="minorHAnsi"/>
          <w:sz w:val="24"/>
          <w:szCs w:val="24"/>
        </w:rPr>
        <w:t xml:space="preserve"> focus was solely on the threat from </w:t>
      </w:r>
      <w:r>
        <w:rPr>
          <w:rFonts w:asciiTheme="minorHAnsi" w:eastAsia="Times New Roman" w:hAnsiTheme="minorHAnsi" w:cstheme="minorHAnsi"/>
          <w:sz w:val="24"/>
          <w:szCs w:val="24"/>
        </w:rPr>
        <w:t xml:space="preserve">international terrorism, specifically that associated with </w:t>
      </w:r>
      <w:r w:rsidRPr="00325344">
        <w:rPr>
          <w:rFonts w:asciiTheme="minorHAnsi" w:eastAsia="Times New Roman" w:hAnsiTheme="minorHAnsi" w:cstheme="minorHAnsi"/>
          <w:sz w:val="24"/>
          <w:szCs w:val="24"/>
        </w:rPr>
        <w:t>“distorted and unrepresentative” Islamist extremism.</w:t>
      </w:r>
      <w:r w:rsidRPr="00325344">
        <w:rPr>
          <w:rStyle w:val="FootnoteReference"/>
          <w:rFonts w:asciiTheme="minorHAnsi" w:eastAsia="Times New Roman" w:hAnsiTheme="minorHAnsi" w:cstheme="minorHAnsi"/>
          <w:sz w:val="24"/>
          <w:szCs w:val="24"/>
        </w:rPr>
        <w:footnoteReference w:id="23"/>
      </w:r>
      <w:r w:rsidRPr="0032534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Indeed, initial Prevent </w:t>
      </w:r>
      <w:proofErr w:type="spellStart"/>
      <w:r>
        <w:rPr>
          <w:rFonts w:asciiTheme="minorHAnsi" w:eastAsia="Times New Roman" w:hAnsiTheme="minorHAnsi" w:cstheme="minorHAnsi"/>
          <w:sz w:val="24"/>
          <w:szCs w:val="24"/>
        </w:rPr>
        <w:t>programmes</w:t>
      </w:r>
      <w:proofErr w:type="spellEnd"/>
      <w:r>
        <w:rPr>
          <w:rFonts w:asciiTheme="minorHAnsi" w:eastAsia="Times New Roman" w:hAnsiTheme="minorHAnsi" w:cstheme="minorHAnsi"/>
          <w:sz w:val="24"/>
          <w:szCs w:val="24"/>
        </w:rPr>
        <w:t xml:space="preserve"> targeted local authorities with a Muslim population that made up at least 5% of the community, later revised to just 2,000 Muslim residents.</w:t>
      </w:r>
      <w:r>
        <w:rPr>
          <w:rStyle w:val="FootnoteReference"/>
          <w:rFonts w:asciiTheme="minorHAnsi" w:eastAsia="Times New Roman" w:hAnsiTheme="minorHAnsi" w:cstheme="minorHAnsi"/>
          <w:sz w:val="24"/>
          <w:szCs w:val="24"/>
        </w:rPr>
        <w:footnoteReference w:id="24"/>
      </w:r>
      <w:r>
        <w:rPr>
          <w:rFonts w:asciiTheme="minorHAnsi" w:eastAsia="Times New Roman" w:hAnsiTheme="minorHAnsi" w:cstheme="minorHAnsi"/>
          <w:sz w:val="24"/>
          <w:szCs w:val="24"/>
        </w:rPr>
        <w:t xml:space="preserve"> Prevent interventions had five enumerated goals: “challenging the violent extremism ideology and supporting mainstream voices; disrupting those who promote violent extremism and supporting the institutions where they are active; supporting individuals who are being targeted and recruited to the cause of violent extremism; increasing the resilience of communities to violent extremism; </w:t>
      </w:r>
      <w:r w:rsidRPr="00F66450">
        <w:rPr>
          <w:rFonts w:asciiTheme="minorHAnsi" w:eastAsia="Times New Roman" w:hAnsiTheme="minorHAnsi" w:cstheme="minorHAnsi"/>
          <w:sz w:val="24"/>
          <w:szCs w:val="24"/>
        </w:rPr>
        <w:t>and addressing the grievances the ideologues are exploiting.”</w:t>
      </w:r>
      <w:r w:rsidRPr="00F66450">
        <w:rPr>
          <w:rStyle w:val="FootnoteReference"/>
          <w:rFonts w:asciiTheme="minorHAnsi" w:eastAsia="Times New Roman" w:hAnsiTheme="minorHAnsi" w:cstheme="minorHAnsi"/>
          <w:sz w:val="24"/>
          <w:szCs w:val="24"/>
        </w:rPr>
        <w:footnoteReference w:id="25"/>
      </w:r>
      <w:r w:rsidRPr="00F66450">
        <w:rPr>
          <w:rFonts w:asciiTheme="minorHAnsi" w:eastAsia="Times New Roman" w:hAnsiTheme="minorHAnsi" w:cstheme="minorHAnsi"/>
          <w:sz w:val="24"/>
          <w:szCs w:val="24"/>
        </w:rPr>
        <w:t xml:space="preserve"> </w:t>
      </w:r>
    </w:p>
    <w:p w14:paraId="586C301F" w14:textId="77777777" w:rsidR="00CC41C1" w:rsidRPr="00050E70" w:rsidRDefault="00CC41C1" w:rsidP="00F66450">
      <w:pPr>
        <w:pStyle w:val="BodyText"/>
        <w:jc w:val="both"/>
        <w:rPr>
          <w:rFonts w:asciiTheme="minorHAnsi" w:eastAsia="Times New Roman" w:hAnsiTheme="minorHAnsi" w:cstheme="minorHAnsi"/>
          <w:sz w:val="24"/>
          <w:szCs w:val="24"/>
        </w:rPr>
      </w:pPr>
    </w:p>
    <w:p w14:paraId="0953CB31" w14:textId="41F3E71F" w:rsidR="00CC41C1" w:rsidRPr="00DD517C" w:rsidRDefault="00E87CBC" w:rsidP="00050E70">
      <w:pPr>
        <w:pStyle w:val="BodyText"/>
        <w:jc w:val="both"/>
        <w:rPr>
          <w:rFonts w:asciiTheme="minorHAnsi" w:eastAsia="Times New Roman" w:hAnsiTheme="minorHAnsi" w:cstheme="minorHAnsi"/>
          <w:color w:val="0B0C0C"/>
          <w:sz w:val="24"/>
          <w:szCs w:val="24"/>
        </w:rPr>
      </w:pPr>
      <w:r w:rsidRPr="00050E70">
        <w:rPr>
          <w:rFonts w:asciiTheme="minorHAnsi" w:hAnsiTheme="minorHAnsi" w:cstheme="minorHAnsi"/>
          <w:sz w:val="24"/>
          <w:szCs w:val="24"/>
        </w:rPr>
        <w:t xml:space="preserve">In April 2007 the Channel </w:t>
      </w:r>
      <w:proofErr w:type="spellStart"/>
      <w:r w:rsidRPr="00050E70">
        <w:rPr>
          <w:rFonts w:asciiTheme="minorHAnsi" w:hAnsiTheme="minorHAnsi" w:cstheme="minorHAnsi"/>
          <w:sz w:val="24"/>
          <w:szCs w:val="24"/>
        </w:rPr>
        <w:t>programme</w:t>
      </w:r>
      <w:proofErr w:type="spellEnd"/>
      <w:r w:rsidRPr="00050E70">
        <w:rPr>
          <w:rFonts w:asciiTheme="minorHAnsi" w:hAnsiTheme="minorHAnsi" w:cstheme="minorHAnsi"/>
          <w:sz w:val="24"/>
          <w:szCs w:val="24"/>
        </w:rPr>
        <w:t xml:space="preserve"> was established within the Prevent pillar</w:t>
      </w:r>
      <w:r w:rsidR="00672AA0" w:rsidRPr="00050E70">
        <w:rPr>
          <w:rFonts w:asciiTheme="minorHAnsi" w:hAnsiTheme="minorHAnsi" w:cstheme="minorHAnsi"/>
          <w:sz w:val="24"/>
          <w:szCs w:val="24"/>
        </w:rPr>
        <w:t xml:space="preserve"> as “a community-based initiative which uses existing partnerships between the police, local authority and the local community to identify those at risk from violent extremism</w:t>
      </w:r>
      <w:r w:rsidRPr="00050E70">
        <w:rPr>
          <w:rFonts w:asciiTheme="minorHAnsi" w:hAnsiTheme="minorHAnsi" w:cstheme="minorHAnsi"/>
          <w:sz w:val="24"/>
          <w:szCs w:val="24"/>
        </w:rPr>
        <w:t xml:space="preserve"> </w:t>
      </w:r>
      <w:r w:rsidR="00672AA0" w:rsidRPr="00050E70">
        <w:rPr>
          <w:rFonts w:asciiTheme="minorHAnsi" w:hAnsiTheme="minorHAnsi" w:cstheme="minorHAnsi"/>
          <w:sz w:val="24"/>
          <w:szCs w:val="24"/>
        </w:rPr>
        <w:t>and to support them.”</w:t>
      </w:r>
      <w:r w:rsidR="00672AA0" w:rsidRPr="00050E70">
        <w:rPr>
          <w:rStyle w:val="FootnoteReference"/>
          <w:rFonts w:asciiTheme="minorHAnsi" w:eastAsia="Times New Roman" w:hAnsiTheme="minorHAnsi" w:cstheme="minorHAnsi"/>
          <w:sz w:val="24"/>
          <w:szCs w:val="24"/>
        </w:rPr>
        <w:footnoteReference w:id="26"/>
      </w:r>
      <w:r w:rsidR="00672AA0" w:rsidRPr="00050E70">
        <w:rPr>
          <w:rFonts w:asciiTheme="minorHAnsi" w:hAnsiTheme="minorHAnsi" w:cstheme="minorHAnsi"/>
          <w:sz w:val="24"/>
          <w:szCs w:val="24"/>
        </w:rPr>
        <w:t xml:space="preserve"> In pra</w:t>
      </w:r>
      <w:r w:rsidR="00363846" w:rsidRPr="00050E70">
        <w:rPr>
          <w:rFonts w:asciiTheme="minorHAnsi" w:hAnsiTheme="minorHAnsi" w:cstheme="minorHAnsi"/>
          <w:sz w:val="24"/>
          <w:szCs w:val="24"/>
        </w:rPr>
        <w:t>c</w:t>
      </w:r>
      <w:r w:rsidR="00672AA0" w:rsidRPr="00050E70">
        <w:rPr>
          <w:rFonts w:asciiTheme="minorHAnsi" w:hAnsiTheme="minorHAnsi" w:cstheme="minorHAnsi"/>
          <w:sz w:val="24"/>
          <w:szCs w:val="24"/>
        </w:rPr>
        <w:t>t</w:t>
      </w:r>
      <w:r w:rsidR="00363846" w:rsidRPr="00050E70">
        <w:rPr>
          <w:rFonts w:asciiTheme="minorHAnsi" w:hAnsiTheme="minorHAnsi" w:cstheme="minorHAnsi"/>
          <w:sz w:val="24"/>
          <w:szCs w:val="24"/>
        </w:rPr>
        <w:t>ic</w:t>
      </w:r>
      <w:r w:rsidR="00672AA0" w:rsidRPr="00050E70">
        <w:rPr>
          <w:rFonts w:asciiTheme="minorHAnsi" w:hAnsiTheme="minorHAnsi" w:cstheme="minorHAnsi"/>
          <w:sz w:val="24"/>
          <w:szCs w:val="24"/>
        </w:rPr>
        <w:t>e</w:t>
      </w:r>
      <w:r w:rsidR="00F15F7A">
        <w:rPr>
          <w:rFonts w:asciiTheme="minorHAnsi" w:hAnsiTheme="minorHAnsi" w:cstheme="minorHAnsi"/>
          <w:sz w:val="24"/>
          <w:szCs w:val="24"/>
        </w:rPr>
        <w:t>,</w:t>
      </w:r>
      <w:r w:rsidR="00672AA0" w:rsidRPr="00050E70">
        <w:rPr>
          <w:rFonts w:asciiTheme="minorHAnsi" w:hAnsiTheme="minorHAnsi" w:cstheme="minorHAnsi"/>
          <w:sz w:val="24"/>
          <w:szCs w:val="24"/>
        </w:rPr>
        <w:t xml:space="preserve"> this </w:t>
      </w:r>
      <w:r w:rsidR="00A57DC2">
        <w:rPr>
          <w:rFonts w:asciiTheme="minorHAnsi" w:hAnsiTheme="minorHAnsi" w:cstheme="minorHAnsi"/>
          <w:sz w:val="24"/>
          <w:szCs w:val="24"/>
        </w:rPr>
        <w:t xml:space="preserve">has </w:t>
      </w:r>
      <w:r w:rsidR="00672AA0" w:rsidRPr="00050E70">
        <w:rPr>
          <w:rFonts w:asciiTheme="minorHAnsi" w:hAnsiTheme="minorHAnsi" w:cstheme="minorHAnsi"/>
          <w:sz w:val="24"/>
          <w:szCs w:val="24"/>
        </w:rPr>
        <w:t>meant empowering parents, te</w:t>
      </w:r>
      <w:r w:rsidR="00363846" w:rsidRPr="00050E70">
        <w:rPr>
          <w:rFonts w:asciiTheme="minorHAnsi" w:hAnsiTheme="minorHAnsi" w:cstheme="minorHAnsi"/>
          <w:sz w:val="24"/>
          <w:szCs w:val="24"/>
        </w:rPr>
        <w:t>ac</w:t>
      </w:r>
      <w:r w:rsidR="00672AA0" w:rsidRPr="00050E70">
        <w:rPr>
          <w:rFonts w:asciiTheme="minorHAnsi" w:hAnsiTheme="minorHAnsi" w:cstheme="minorHAnsi"/>
          <w:sz w:val="24"/>
          <w:szCs w:val="24"/>
        </w:rPr>
        <w:t>hers</w:t>
      </w:r>
      <w:r w:rsidR="00363846" w:rsidRPr="00050E70">
        <w:rPr>
          <w:rFonts w:asciiTheme="minorHAnsi" w:hAnsiTheme="minorHAnsi" w:cstheme="minorHAnsi"/>
          <w:sz w:val="24"/>
          <w:szCs w:val="24"/>
        </w:rPr>
        <w:t xml:space="preserve">, and other public </w:t>
      </w:r>
      <w:r w:rsidR="00363846" w:rsidRPr="00050E70">
        <w:rPr>
          <w:rFonts w:asciiTheme="minorHAnsi" w:hAnsiTheme="minorHAnsi" w:cstheme="minorHAnsi"/>
          <w:color w:val="000000" w:themeColor="text1"/>
          <w:sz w:val="24"/>
          <w:szCs w:val="24"/>
        </w:rPr>
        <w:t xml:space="preserve">sectors workers to identify the warning signs of </w:t>
      </w:r>
      <w:r w:rsidR="008F3CC7" w:rsidRPr="00050E70">
        <w:rPr>
          <w:rFonts w:asciiTheme="minorHAnsi" w:hAnsiTheme="minorHAnsi" w:cstheme="minorHAnsi"/>
          <w:color w:val="000000" w:themeColor="text1"/>
          <w:sz w:val="24"/>
          <w:szCs w:val="24"/>
        </w:rPr>
        <w:t>radicalization</w:t>
      </w:r>
      <w:r w:rsidR="00363846" w:rsidRPr="00050E70">
        <w:rPr>
          <w:rFonts w:asciiTheme="minorHAnsi" w:hAnsiTheme="minorHAnsi" w:cstheme="minorHAnsi"/>
          <w:color w:val="000000" w:themeColor="text1"/>
          <w:sz w:val="24"/>
          <w:szCs w:val="24"/>
        </w:rPr>
        <w:t xml:space="preserve"> in young people </w:t>
      </w:r>
      <w:r w:rsidR="008F3CC7" w:rsidRPr="00050E70">
        <w:rPr>
          <w:rFonts w:asciiTheme="minorHAnsi" w:hAnsiTheme="minorHAnsi" w:cstheme="minorHAnsi"/>
          <w:color w:val="000000" w:themeColor="text1"/>
          <w:sz w:val="24"/>
          <w:szCs w:val="24"/>
        </w:rPr>
        <w:t>using</w:t>
      </w:r>
      <w:r w:rsidR="00F66450" w:rsidRPr="00050E70">
        <w:rPr>
          <w:rFonts w:asciiTheme="minorHAnsi" w:hAnsiTheme="minorHAnsi" w:cstheme="minorHAnsi"/>
          <w:color w:val="000000" w:themeColor="text1"/>
          <w:sz w:val="24"/>
          <w:szCs w:val="24"/>
        </w:rPr>
        <w:t xml:space="preserve"> </w:t>
      </w:r>
      <w:r w:rsidR="00AA3455">
        <w:rPr>
          <w:rFonts w:asciiTheme="minorHAnsi" w:hAnsiTheme="minorHAnsi" w:cstheme="minorHAnsi"/>
          <w:color w:val="000000" w:themeColor="text1"/>
          <w:sz w:val="24"/>
          <w:szCs w:val="24"/>
        </w:rPr>
        <w:t>a Vulnerability Assessment Framework, itself</w:t>
      </w:r>
      <w:r w:rsidR="00F66450" w:rsidRPr="00050E70">
        <w:rPr>
          <w:rFonts w:asciiTheme="minorHAnsi" w:hAnsiTheme="minorHAnsi" w:cstheme="minorHAnsi"/>
          <w:color w:val="000000" w:themeColor="text1"/>
          <w:sz w:val="24"/>
          <w:szCs w:val="24"/>
        </w:rPr>
        <w:t xml:space="preserve"> </w:t>
      </w:r>
      <w:r w:rsidR="00AA3455">
        <w:rPr>
          <w:rFonts w:asciiTheme="minorHAnsi" w:hAnsiTheme="minorHAnsi" w:cstheme="minorHAnsi"/>
          <w:color w:val="000000" w:themeColor="text1"/>
          <w:sz w:val="24"/>
          <w:szCs w:val="24"/>
        </w:rPr>
        <w:t>derived from Extremist Risk Guidance</w:t>
      </w:r>
      <w:r w:rsidR="00F66450" w:rsidRPr="00050E70">
        <w:rPr>
          <w:rFonts w:asciiTheme="minorHAnsi" w:hAnsiTheme="minorHAnsi" w:cstheme="minorHAnsi"/>
          <w:color w:val="000000" w:themeColor="text1"/>
          <w:sz w:val="24"/>
          <w:szCs w:val="24"/>
        </w:rPr>
        <w:t xml:space="preserve"> developed </w:t>
      </w:r>
      <w:r w:rsidR="002D68FC" w:rsidRPr="00050E70">
        <w:rPr>
          <w:rFonts w:asciiTheme="minorHAnsi" w:hAnsiTheme="minorHAnsi" w:cstheme="minorHAnsi"/>
          <w:color w:val="000000" w:themeColor="text1"/>
          <w:sz w:val="24"/>
          <w:szCs w:val="24"/>
        </w:rPr>
        <w:t>by psychologists working for</w:t>
      </w:r>
      <w:r w:rsidR="00F66450" w:rsidRPr="00050E70">
        <w:rPr>
          <w:rFonts w:asciiTheme="minorHAnsi" w:hAnsiTheme="minorHAnsi" w:cstheme="minorHAnsi"/>
          <w:color w:val="000000" w:themeColor="text1"/>
          <w:sz w:val="24"/>
          <w:szCs w:val="24"/>
        </w:rPr>
        <w:t xml:space="preserve"> the </w:t>
      </w:r>
      <w:r w:rsidR="00F66450" w:rsidRPr="00050E70">
        <w:rPr>
          <w:rFonts w:asciiTheme="minorHAnsi" w:hAnsiTheme="minorHAnsi" w:cstheme="minorHAnsi"/>
          <w:color w:val="000000" w:themeColor="text1"/>
          <w:sz w:val="24"/>
          <w:szCs w:val="24"/>
          <w:shd w:val="clear" w:color="auto" w:fill="FFFFFF"/>
        </w:rPr>
        <w:t>National </w:t>
      </w:r>
      <w:r w:rsidR="00F66450" w:rsidRPr="00050E70">
        <w:rPr>
          <w:rFonts w:asciiTheme="minorHAnsi" w:hAnsiTheme="minorHAnsi" w:cstheme="minorHAnsi"/>
          <w:color w:val="000000" w:themeColor="text1"/>
          <w:sz w:val="24"/>
          <w:szCs w:val="24"/>
          <w:bdr w:val="none" w:sz="0" w:space="0" w:color="auto" w:frame="1"/>
        </w:rPr>
        <w:t>Offender</w:t>
      </w:r>
      <w:r w:rsidR="00F66450" w:rsidRPr="00050E70">
        <w:rPr>
          <w:rFonts w:asciiTheme="minorHAnsi" w:hAnsiTheme="minorHAnsi" w:cstheme="minorHAnsi"/>
          <w:color w:val="000000" w:themeColor="text1"/>
          <w:sz w:val="24"/>
          <w:szCs w:val="24"/>
          <w:shd w:val="clear" w:color="auto" w:fill="FFFFFF"/>
        </w:rPr>
        <w:t xml:space="preserve"> Management Service (known colloquially as </w:t>
      </w:r>
      <w:r w:rsidR="00F66450" w:rsidRPr="00050E70">
        <w:rPr>
          <w:rFonts w:asciiTheme="minorHAnsi" w:hAnsiTheme="minorHAnsi" w:cstheme="minorHAnsi"/>
          <w:color w:val="000000" w:themeColor="text1"/>
          <w:sz w:val="24"/>
          <w:szCs w:val="24"/>
        </w:rPr>
        <w:t>ERG22+</w:t>
      </w:r>
      <w:r w:rsidR="008F3CC7" w:rsidRPr="00050E70">
        <w:rPr>
          <w:rFonts w:asciiTheme="minorHAnsi" w:hAnsiTheme="minorHAnsi" w:cstheme="minorHAnsi"/>
          <w:color w:val="000000" w:themeColor="text1"/>
          <w:sz w:val="24"/>
          <w:szCs w:val="24"/>
        </w:rPr>
        <w:t xml:space="preserve"> after the 22 key indicators that made up the model</w:t>
      </w:r>
      <w:r w:rsidR="00F66450" w:rsidRPr="00050E70">
        <w:rPr>
          <w:rFonts w:asciiTheme="minorHAnsi" w:hAnsiTheme="minorHAnsi" w:cstheme="minorHAnsi"/>
          <w:color w:val="000000" w:themeColor="text1"/>
          <w:sz w:val="24"/>
          <w:szCs w:val="24"/>
        </w:rPr>
        <w:t>)</w:t>
      </w:r>
      <w:r w:rsidR="00AA3455">
        <w:rPr>
          <w:rFonts w:asciiTheme="minorHAnsi" w:hAnsiTheme="minorHAnsi" w:cstheme="minorHAnsi"/>
          <w:color w:val="000000" w:themeColor="text1"/>
          <w:sz w:val="24"/>
          <w:szCs w:val="24"/>
        </w:rPr>
        <w:t xml:space="preserve">. When an at-risk individual is </w:t>
      </w:r>
      <w:r w:rsidR="00AA3455">
        <w:rPr>
          <w:rFonts w:asciiTheme="minorHAnsi" w:hAnsiTheme="minorHAnsi" w:cstheme="minorHAnsi"/>
          <w:color w:val="000000" w:themeColor="text1"/>
          <w:sz w:val="24"/>
          <w:szCs w:val="24"/>
        </w:rPr>
        <w:lastRenderedPageBreak/>
        <w:t>identified utilizing this framework local government officials</w:t>
      </w:r>
      <w:r w:rsidR="00F66450" w:rsidRPr="00050E70">
        <w:rPr>
          <w:rFonts w:asciiTheme="minorHAnsi" w:hAnsiTheme="minorHAnsi" w:cstheme="minorHAnsi"/>
          <w:color w:val="000000" w:themeColor="text1"/>
          <w:sz w:val="24"/>
          <w:szCs w:val="24"/>
        </w:rPr>
        <w:t xml:space="preserve"> </w:t>
      </w:r>
      <w:r w:rsidR="00AA3455">
        <w:rPr>
          <w:rFonts w:asciiTheme="minorHAnsi" w:hAnsiTheme="minorHAnsi" w:cstheme="minorHAnsi"/>
          <w:color w:val="000000" w:themeColor="text1"/>
          <w:sz w:val="24"/>
          <w:szCs w:val="24"/>
        </w:rPr>
        <w:t>can</w:t>
      </w:r>
      <w:r w:rsidR="00363846" w:rsidRPr="00050E70">
        <w:rPr>
          <w:rFonts w:asciiTheme="minorHAnsi" w:hAnsiTheme="minorHAnsi" w:cstheme="minorHAnsi"/>
          <w:color w:val="000000" w:themeColor="text1"/>
          <w:sz w:val="24"/>
          <w:szCs w:val="24"/>
        </w:rPr>
        <w:t xml:space="preserve"> </w:t>
      </w:r>
      <w:r w:rsidR="00B214DE" w:rsidRPr="00050E70">
        <w:rPr>
          <w:rFonts w:asciiTheme="minorHAnsi" w:hAnsiTheme="minorHAnsi" w:cstheme="minorHAnsi"/>
          <w:color w:val="000000" w:themeColor="text1"/>
          <w:sz w:val="24"/>
          <w:szCs w:val="24"/>
        </w:rPr>
        <w:t xml:space="preserve">then </w:t>
      </w:r>
      <w:r w:rsidR="00363846" w:rsidRPr="00050E70">
        <w:rPr>
          <w:rFonts w:asciiTheme="minorHAnsi" w:hAnsiTheme="minorHAnsi" w:cstheme="minorHAnsi"/>
          <w:color w:val="000000" w:themeColor="text1"/>
          <w:sz w:val="24"/>
          <w:szCs w:val="24"/>
        </w:rPr>
        <w:t>draw upon locally available resources to mount an intervention.</w:t>
      </w:r>
      <w:r w:rsidR="00B214DE" w:rsidRPr="00050E70">
        <w:rPr>
          <w:rStyle w:val="FootnoteReference"/>
          <w:rFonts w:asciiTheme="minorHAnsi" w:hAnsiTheme="minorHAnsi" w:cstheme="minorHAnsi"/>
          <w:color w:val="000000" w:themeColor="text1"/>
          <w:sz w:val="24"/>
          <w:szCs w:val="24"/>
        </w:rPr>
        <w:footnoteReference w:id="27"/>
      </w:r>
      <w:r w:rsidR="00363846" w:rsidRPr="00050E70">
        <w:rPr>
          <w:rFonts w:asciiTheme="minorHAnsi" w:hAnsiTheme="minorHAnsi" w:cstheme="minorHAnsi"/>
          <w:color w:val="000000" w:themeColor="text1"/>
          <w:sz w:val="24"/>
          <w:szCs w:val="24"/>
        </w:rPr>
        <w:t xml:space="preserve"> </w:t>
      </w:r>
      <w:r w:rsidR="00034302">
        <w:rPr>
          <w:rFonts w:asciiTheme="minorHAnsi" w:hAnsiTheme="minorHAnsi" w:cstheme="minorHAnsi"/>
          <w:color w:val="000000" w:themeColor="text1"/>
          <w:sz w:val="24"/>
          <w:szCs w:val="24"/>
        </w:rPr>
        <w:t>T</w:t>
      </w:r>
      <w:r w:rsidR="00050E70" w:rsidRPr="00050E70">
        <w:rPr>
          <w:rFonts w:asciiTheme="minorHAnsi" w:hAnsiTheme="minorHAnsi" w:cstheme="minorHAnsi"/>
          <w:color w:val="000000" w:themeColor="text1"/>
          <w:sz w:val="24"/>
          <w:szCs w:val="24"/>
        </w:rPr>
        <w:t xml:space="preserve">hese Extremism Risk Guidelines had been originally </w:t>
      </w:r>
      <w:r w:rsidR="00050E70" w:rsidRPr="00050E70">
        <w:rPr>
          <w:rFonts w:asciiTheme="minorHAnsi" w:hAnsiTheme="minorHAnsi" w:cstheme="minorHAnsi"/>
          <w:color w:val="000000" w:themeColor="text1"/>
          <w:sz w:val="24"/>
          <w:szCs w:val="24"/>
          <w:shd w:val="clear" w:color="auto" w:fill="FFFFFF"/>
        </w:rPr>
        <w:t xml:space="preserve">designed to </w:t>
      </w:r>
      <w:r w:rsidR="008F3CC7" w:rsidRPr="00050E70">
        <w:rPr>
          <w:rFonts w:asciiTheme="minorHAnsi" w:hAnsiTheme="minorHAnsi" w:cstheme="minorHAnsi"/>
          <w:color w:val="000000" w:themeColor="text1"/>
          <w:sz w:val="24"/>
          <w:szCs w:val="24"/>
          <w:shd w:val="clear" w:color="auto" w:fill="FFFFFF"/>
        </w:rPr>
        <w:t>identify radicalized offenders incarcerated in British prisons</w:t>
      </w:r>
      <w:r w:rsidR="00050E70" w:rsidRPr="00050E70">
        <w:rPr>
          <w:rFonts w:asciiTheme="minorHAnsi" w:hAnsiTheme="minorHAnsi" w:cstheme="minorHAnsi"/>
          <w:color w:val="000000" w:themeColor="text1"/>
          <w:sz w:val="24"/>
          <w:szCs w:val="24"/>
          <w:shd w:val="clear" w:color="auto" w:fill="FFFFFF"/>
        </w:rPr>
        <w:t xml:space="preserve">, not alienated school </w:t>
      </w:r>
      <w:r w:rsidR="00050E70" w:rsidRPr="00DD517C">
        <w:rPr>
          <w:rFonts w:asciiTheme="minorHAnsi" w:hAnsiTheme="minorHAnsi" w:cstheme="minorHAnsi"/>
          <w:color w:val="000000" w:themeColor="text1"/>
          <w:sz w:val="24"/>
          <w:szCs w:val="24"/>
          <w:shd w:val="clear" w:color="auto" w:fill="FFFFFF"/>
        </w:rPr>
        <w:t xml:space="preserve">children, and this difference in context </w:t>
      </w:r>
      <w:r w:rsidR="00034302" w:rsidRPr="00DD517C">
        <w:rPr>
          <w:rFonts w:asciiTheme="minorHAnsi" w:hAnsiTheme="minorHAnsi" w:cstheme="minorHAnsi"/>
          <w:color w:val="000000" w:themeColor="text1"/>
          <w:sz w:val="24"/>
          <w:szCs w:val="24"/>
          <w:shd w:val="clear" w:color="auto" w:fill="FFFFFF"/>
        </w:rPr>
        <w:t>does not appear to have been</w:t>
      </w:r>
      <w:r w:rsidR="00050E70" w:rsidRPr="00DD517C">
        <w:rPr>
          <w:rFonts w:asciiTheme="minorHAnsi" w:hAnsiTheme="minorHAnsi" w:cstheme="minorHAnsi"/>
          <w:color w:val="000000" w:themeColor="text1"/>
          <w:sz w:val="24"/>
          <w:szCs w:val="24"/>
          <w:shd w:val="clear" w:color="auto" w:fill="FFFFFF"/>
        </w:rPr>
        <w:t xml:space="preserve"> significant</w:t>
      </w:r>
      <w:r w:rsidR="00034302" w:rsidRPr="00DD517C">
        <w:rPr>
          <w:rFonts w:asciiTheme="minorHAnsi" w:hAnsiTheme="minorHAnsi" w:cstheme="minorHAnsi"/>
          <w:color w:val="000000" w:themeColor="text1"/>
          <w:sz w:val="24"/>
          <w:szCs w:val="24"/>
          <w:shd w:val="clear" w:color="auto" w:fill="FFFFFF"/>
        </w:rPr>
        <w:t xml:space="preserve">ly addressed </w:t>
      </w:r>
      <w:r w:rsidR="00A57DC2">
        <w:rPr>
          <w:rFonts w:asciiTheme="minorHAnsi" w:hAnsiTheme="minorHAnsi" w:cstheme="minorHAnsi"/>
          <w:color w:val="000000" w:themeColor="text1"/>
          <w:sz w:val="24"/>
          <w:szCs w:val="24"/>
          <w:shd w:val="clear" w:color="auto" w:fill="FFFFFF"/>
        </w:rPr>
        <w:t>by</w:t>
      </w:r>
      <w:r w:rsidR="00034302" w:rsidRPr="00DD517C">
        <w:rPr>
          <w:rFonts w:asciiTheme="minorHAnsi" w:hAnsiTheme="minorHAnsi" w:cstheme="minorHAnsi"/>
          <w:color w:val="000000" w:themeColor="text1"/>
          <w:sz w:val="24"/>
          <w:szCs w:val="24"/>
          <w:shd w:val="clear" w:color="auto" w:fill="FFFFFF"/>
        </w:rPr>
        <w:t xml:space="preserve"> the Prevent materials</w:t>
      </w:r>
      <w:r w:rsidR="00050E70" w:rsidRPr="00DD517C">
        <w:rPr>
          <w:rFonts w:asciiTheme="minorHAnsi" w:hAnsiTheme="minorHAnsi" w:cstheme="minorHAnsi"/>
          <w:color w:val="000000" w:themeColor="text1"/>
          <w:sz w:val="24"/>
          <w:szCs w:val="24"/>
          <w:shd w:val="clear" w:color="auto" w:fill="FFFFFF"/>
        </w:rPr>
        <w:t xml:space="preserve">. </w:t>
      </w:r>
      <w:r w:rsidR="00050E70" w:rsidRPr="00DD517C">
        <w:rPr>
          <w:rFonts w:asciiTheme="minorHAnsi" w:eastAsia="Times New Roman" w:hAnsiTheme="minorHAnsi" w:cstheme="minorHAnsi"/>
          <w:color w:val="0B0C0C"/>
          <w:sz w:val="24"/>
          <w:szCs w:val="24"/>
        </w:rPr>
        <w:t xml:space="preserve">Furthermore, the architects of ERG22+, Monica Lloyd and Christopher Dean, </w:t>
      </w:r>
      <w:r w:rsidR="00632729">
        <w:rPr>
          <w:rFonts w:asciiTheme="minorHAnsi" w:eastAsia="Times New Roman" w:hAnsiTheme="minorHAnsi" w:cstheme="minorHAnsi"/>
          <w:color w:val="0B0C0C"/>
          <w:sz w:val="24"/>
          <w:szCs w:val="24"/>
        </w:rPr>
        <w:t>readi</w:t>
      </w:r>
      <w:r w:rsidR="00050E70" w:rsidRPr="00DD517C">
        <w:rPr>
          <w:rFonts w:asciiTheme="minorHAnsi" w:eastAsia="Times New Roman" w:hAnsiTheme="minorHAnsi" w:cstheme="minorHAnsi"/>
          <w:color w:val="0B0C0C"/>
          <w:sz w:val="24"/>
          <w:szCs w:val="24"/>
        </w:rPr>
        <w:t>ly acknowledged that their guidelines were “a qualitative tool that require</w:t>
      </w:r>
      <w:r w:rsidR="00EB0548" w:rsidRPr="00DD517C">
        <w:rPr>
          <w:rFonts w:asciiTheme="minorHAnsi" w:eastAsia="Times New Roman" w:hAnsiTheme="minorHAnsi" w:cstheme="minorHAnsi"/>
          <w:color w:val="0B0C0C"/>
          <w:sz w:val="24"/>
          <w:szCs w:val="24"/>
        </w:rPr>
        <w:t>[d]</w:t>
      </w:r>
      <w:r w:rsidR="00050E70" w:rsidRPr="00DD517C">
        <w:rPr>
          <w:rFonts w:asciiTheme="minorHAnsi" w:eastAsia="Times New Roman" w:hAnsiTheme="minorHAnsi" w:cstheme="minorHAnsi"/>
          <w:color w:val="0B0C0C"/>
          <w:sz w:val="24"/>
          <w:szCs w:val="24"/>
        </w:rPr>
        <w:t xml:space="preserve"> a level of professional judgement and experience to be used effectively” and </w:t>
      </w:r>
      <w:r w:rsidR="00EB0548" w:rsidRPr="00DD517C">
        <w:rPr>
          <w:rFonts w:asciiTheme="minorHAnsi" w:eastAsia="Times New Roman" w:hAnsiTheme="minorHAnsi" w:cstheme="minorHAnsi"/>
          <w:color w:val="0B0C0C"/>
          <w:sz w:val="24"/>
          <w:szCs w:val="24"/>
        </w:rPr>
        <w:t xml:space="preserve">a </w:t>
      </w:r>
      <w:r w:rsidR="00050E70" w:rsidRPr="00DD517C">
        <w:rPr>
          <w:rFonts w:asciiTheme="minorHAnsi" w:eastAsia="Times New Roman" w:hAnsiTheme="minorHAnsi" w:cstheme="minorHAnsi"/>
          <w:color w:val="0B0C0C"/>
          <w:sz w:val="24"/>
          <w:szCs w:val="24"/>
        </w:rPr>
        <w:t>“political awareness in the area of extremism in question”</w:t>
      </w:r>
      <w:r w:rsidR="00DD517C" w:rsidRPr="00DD517C">
        <w:rPr>
          <w:rStyle w:val="FootnoteReference"/>
          <w:rFonts w:asciiTheme="minorHAnsi" w:eastAsia="Times New Roman" w:hAnsiTheme="minorHAnsi" w:cstheme="minorHAnsi"/>
          <w:color w:val="0B0C0C"/>
          <w:sz w:val="24"/>
          <w:szCs w:val="24"/>
        </w:rPr>
        <w:footnoteReference w:id="28"/>
      </w:r>
      <w:r w:rsidR="00354F23" w:rsidRPr="00DD517C">
        <w:rPr>
          <w:rFonts w:asciiTheme="minorHAnsi" w:eastAsia="Times New Roman" w:hAnsiTheme="minorHAnsi" w:cstheme="minorHAnsi"/>
          <w:color w:val="0B0C0C"/>
          <w:sz w:val="24"/>
          <w:szCs w:val="24"/>
        </w:rPr>
        <w:t xml:space="preserve"> – qualities most of those at the sharp end of Prevent </w:t>
      </w:r>
      <w:r w:rsidR="00EB0548" w:rsidRPr="00DD517C">
        <w:rPr>
          <w:rFonts w:asciiTheme="minorHAnsi" w:eastAsia="Times New Roman" w:hAnsiTheme="minorHAnsi" w:cstheme="minorHAnsi"/>
          <w:color w:val="0B0C0C"/>
          <w:sz w:val="24"/>
          <w:szCs w:val="24"/>
        </w:rPr>
        <w:t>delivery</w:t>
      </w:r>
      <w:r w:rsidR="00354F23" w:rsidRPr="00DD517C">
        <w:rPr>
          <w:rFonts w:asciiTheme="minorHAnsi" w:eastAsia="Times New Roman" w:hAnsiTheme="minorHAnsi" w:cstheme="minorHAnsi"/>
          <w:color w:val="0B0C0C"/>
          <w:sz w:val="24"/>
          <w:szCs w:val="24"/>
        </w:rPr>
        <w:t xml:space="preserve"> could not </w:t>
      </w:r>
      <w:r w:rsidR="00034302" w:rsidRPr="00DD517C">
        <w:rPr>
          <w:rFonts w:asciiTheme="minorHAnsi" w:eastAsia="Times New Roman" w:hAnsiTheme="minorHAnsi" w:cstheme="minorHAnsi"/>
          <w:color w:val="0B0C0C"/>
          <w:sz w:val="24"/>
          <w:szCs w:val="24"/>
        </w:rPr>
        <w:t xml:space="preserve">realistically </w:t>
      </w:r>
      <w:r w:rsidR="00354F23" w:rsidRPr="00DD517C">
        <w:rPr>
          <w:rFonts w:asciiTheme="minorHAnsi" w:eastAsia="Times New Roman" w:hAnsiTheme="minorHAnsi" w:cstheme="minorHAnsi"/>
          <w:color w:val="0B0C0C"/>
          <w:sz w:val="24"/>
          <w:szCs w:val="24"/>
        </w:rPr>
        <w:t>be expected to possess.</w:t>
      </w:r>
      <w:r w:rsidR="00DD517C" w:rsidRPr="00DD517C">
        <w:rPr>
          <w:rStyle w:val="FootnoteReference"/>
          <w:rFonts w:asciiTheme="minorHAnsi" w:eastAsia="Times New Roman" w:hAnsiTheme="minorHAnsi" w:cstheme="minorHAnsi"/>
          <w:color w:val="000000" w:themeColor="text1"/>
          <w:sz w:val="24"/>
          <w:szCs w:val="24"/>
        </w:rPr>
        <w:footnoteReference w:id="29"/>
      </w:r>
      <w:r w:rsidR="008F3CC7" w:rsidRPr="00DD517C">
        <w:rPr>
          <w:rFonts w:asciiTheme="minorHAnsi" w:hAnsiTheme="minorHAnsi" w:cstheme="minorHAnsi"/>
          <w:color w:val="000000" w:themeColor="text1"/>
          <w:sz w:val="24"/>
          <w:szCs w:val="24"/>
          <w:shd w:val="clear" w:color="auto" w:fill="FFFFFF"/>
        </w:rPr>
        <w:t xml:space="preserve"> </w:t>
      </w:r>
    </w:p>
    <w:p w14:paraId="0785FE31" w14:textId="77777777" w:rsidR="00B17369" w:rsidRPr="00930FD8" w:rsidRDefault="00B17369" w:rsidP="00F66450">
      <w:pPr>
        <w:pStyle w:val="BodyText"/>
        <w:jc w:val="both"/>
        <w:rPr>
          <w:rFonts w:asciiTheme="minorHAnsi" w:eastAsia="Times New Roman" w:hAnsiTheme="minorHAnsi" w:cstheme="minorHAnsi"/>
          <w:color w:val="000000" w:themeColor="text1"/>
          <w:sz w:val="24"/>
          <w:szCs w:val="24"/>
        </w:rPr>
      </w:pPr>
    </w:p>
    <w:p w14:paraId="2386D65C" w14:textId="0AF0622D" w:rsidR="00646616" w:rsidRPr="00930FD8" w:rsidRDefault="00CC41C1" w:rsidP="009B46FC">
      <w:pPr>
        <w:jc w:val="both"/>
        <w:rPr>
          <w:rFonts w:asciiTheme="minorHAnsi" w:hAnsiTheme="minorHAnsi" w:cstheme="minorHAnsi"/>
        </w:rPr>
      </w:pPr>
      <w:r w:rsidRPr="00930FD8">
        <w:rPr>
          <w:rFonts w:asciiTheme="minorHAnsi" w:hAnsiTheme="minorHAnsi" w:cstheme="minorHAnsi"/>
          <w:color w:val="000000" w:themeColor="text1"/>
        </w:rPr>
        <w:t>Wide</w:t>
      </w:r>
      <w:r w:rsidR="00694C04" w:rsidRPr="00930FD8">
        <w:rPr>
          <w:rFonts w:asciiTheme="minorHAnsi" w:hAnsiTheme="minorHAnsi" w:cstheme="minorHAnsi"/>
          <w:color w:val="000000" w:themeColor="text1"/>
        </w:rPr>
        <w:t>-</w:t>
      </w:r>
      <w:r w:rsidRPr="00930FD8">
        <w:rPr>
          <w:rFonts w:asciiTheme="minorHAnsi" w:hAnsiTheme="minorHAnsi" w:cstheme="minorHAnsi"/>
          <w:color w:val="000000" w:themeColor="text1"/>
        </w:rPr>
        <w:t>ranging</w:t>
      </w:r>
      <w:r w:rsidR="00F3398D" w:rsidRPr="00930FD8">
        <w:rPr>
          <w:rFonts w:asciiTheme="minorHAnsi" w:hAnsiTheme="minorHAnsi" w:cstheme="minorHAnsi"/>
          <w:color w:val="000000" w:themeColor="text1"/>
        </w:rPr>
        <w:t xml:space="preserve"> reviews of the Contest strategy took place under successive governments in 2009, 2011, and 2018. </w:t>
      </w:r>
      <w:r w:rsidRPr="00930FD8">
        <w:rPr>
          <w:rFonts w:asciiTheme="minorHAnsi" w:hAnsiTheme="minorHAnsi" w:cstheme="minorHAnsi"/>
          <w:color w:val="000000" w:themeColor="text1"/>
        </w:rPr>
        <w:t xml:space="preserve">In March 2009 the </w:t>
      </w:r>
      <w:proofErr w:type="spellStart"/>
      <w:r w:rsidRPr="00930FD8">
        <w:rPr>
          <w:rFonts w:asciiTheme="minorHAnsi" w:hAnsiTheme="minorHAnsi" w:cstheme="minorHAnsi"/>
          <w:color w:val="000000" w:themeColor="text1"/>
        </w:rPr>
        <w:t>Labour</w:t>
      </w:r>
      <w:proofErr w:type="spellEnd"/>
      <w:r w:rsidRPr="00930FD8">
        <w:rPr>
          <w:rFonts w:asciiTheme="minorHAnsi" w:hAnsiTheme="minorHAnsi" w:cstheme="minorHAnsi"/>
          <w:color w:val="000000" w:themeColor="text1"/>
        </w:rPr>
        <w:t xml:space="preserve"> government of Gordon Brown released a revised counter-terrorism strategy known as Contest 2</w:t>
      </w:r>
      <w:r w:rsidR="00D52111" w:rsidRPr="00930FD8">
        <w:rPr>
          <w:rFonts w:asciiTheme="minorHAnsi" w:hAnsiTheme="minorHAnsi" w:cstheme="minorHAnsi"/>
          <w:color w:val="000000" w:themeColor="text1"/>
        </w:rPr>
        <w:t>,</w:t>
      </w:r>
      <w:r w:rsidRPr="00930FD8">
        <w:rPr>
          <w:rFonts w:asciiTheme="minorHAnsi" w:hAnsiTheme="minorHAnsi" w:cstheme="minorHAnsi"/>
          <w:color w:val="000000" w:themeColor="text1"/>
        </w:rPr>
        <w:t xml:space="preserve"> which significantly widened Prevent efforts to counter “extremism” – not just violent extremism – </w:t>
      </w:r>
      <w:r w:rsidR="00D52111" w:rsidRPr="00930FD8">
        <w:rPr>
          <w:rFonts w:asciiTheme="minorHAnsi" w:hAnsiTheme="minorHAnsi" w:cstheme="minorHAnsi"/>
          <w:color w:val="000000" w:themeColor="text1"/>
        </w:rPr>
        <w:t xml:space="preserve">and </w:t>
      </w:r>
      <w:r w:rsidRPr="00930FD8">
        <w:rPr>
          <w:rFonts w:asciiTheme="minorHAnsi" w:hAnsiTheme="minorHAnsi" w:cstheme="minorHAnsi"/>
          <w:color w:val="000000" w:themeColor="text1"/>
        </w:rPr>
        <w:t xml:space="preserve">specifically “views which fall short of supporting violence and are within the law, but which reject and undermine our shared values and jeopardize community cohesion.” </w:t>
      </w:r>
      <w:r w:rsidR="00DE45FA" w:rsidRPr="00930FD8">
        <w:rPr>
          <w:rFonts w:asciiTheme="minorHAnsi" w:hAnsiTheme="minorHAnsi" w:cstheme="minorHAnsi"/>
          <w:color w:val="000000" w:themeColor="text1"/>
        </w:rPr>
        <w:t>As Anthony Richards has noted, in doing so the Brown government blurred “the important distinction between ‘extremism’ of thought and ‘extremism’ of method”, arguably resulting in a reduced focus on the real threat.</w:t>
      </w:r>
      <w:r w:rsidR="00DE45FA" w:rsidRPr="00930FD8">
        <w:rPr>
          <w:rStyle w:val="FootnoteReference"/>
          <w:rFonts w:asciiTheme="minorHAnsi" w:hAnsiTheme="minorHAnsi" w:cstheme="minorHAnsi"/>
          <w:color w:val="000000" w:themeColor="text1"/>
        </w:rPr>
        <w:footnoteReference w:id="30"/>
      </w:r>
      <w:r w:rsidR="00DE45FA" w:rsidRPr="00930FD8">
        <w:rPr>
          <w:rFonts w:asciiTheme="minorHAnsi" w:hAnsiTheme="minorHAnsi" w:cstheme="minorHAnsi"/>
          <w:color w:val="000000" w:themeColor="text1"/>
        </w:rPr>
        <w:t xml:space="preserve"> </w:t>
      </w:r>
      <w:r w:rsidR="000D2427" w:rsidRPr="00930FD8">
        <w:rPr>
          <w:rFonts w:asciiTheme="minorHAnsi" w:hAnsiTheme="minorHAnsi" w:cstheme="minorHAnsi"/>
          <w:color w:val="000000" w:themeColor="text1"/>
        </w:rPr>
        <w:t xml:space="preserve"> </w:t>
      </w:r>
      <w:r w:rsidR="000D2427" w:rsidRPr="00930FD8">
        <w:rPr>
          <w:rFonts w:asciiTheme="minorHAnsi" w:hAnsiTheme="minorHAnsi" w:cstheme="minorHAnsi"/>
        </w:rPr>
        <w:t xml:space="preserve">Gabe Mythen, Sandra </w:t>
      </w:r>
      <w:proofErr w:type="spellStart"/>
      <w:r w:rsidR="000D2427" w:rsidRPr="00930FD8">
        <w:rPr>
          <w:rFonts w:asciiTheme="minorHAnsi" w:hAnsiTheme="minorHAnsi" w:cstheme="minorHAnsi"/>
        </w:rPr>
        <w:t>Walklate</w:t>
      </w:r>
      <w:proofErr w:type="spellEnd"/>
      <w:r w:rsidR="000D2427" w:rsidRPr="00930FD8">
        <w:rPr>
          <w:rFonts w:asciiTheme="minorHAnsi" w:hAnsiTheme="minorHAnsi" w:cstheme="minorHAnsi"/>
        </w:rPr>
        <w:t xml:space="preserve"> and Elizabeth-Jane </w:t>
      </w:r>
      <w:proofErr w:type="spellStart"/>
      <w:r w:rsidR="000D2427" w:rsidRPr="00930FD8">
        <w:rPr>
          <w:rFonts w:asciiTheme="minorHAnsi" w:hAnsiTheme="minorHAnsi" w:cstheme="minorHAnsi"/>
        </w:rPr>
        <w:t>Peatfield</w:t>
      </w:r>
      <w:proofErr w:type="spellEnd"/>
      <w:r w:rsidR="009B46FC" w:rsidRPr="00930FD8">
        <w:rPr>
          <w:rFonts w:asciiTheme="minorHAnsi" w:hAnsiTheme="minorHAnsi" w:cstheme="minorHAnsi"/>
        </w:rPr>
        <w:t xml:space="preserve"> further cautioned that</w:t>
      </w:r>
      <w:r w:rsidR="000D2427" w:rsidRPr="00930FD8">
        <w:rPr>
          <w:rFonts w:asciiTheme="minorHAnsi" w:hAnsiTheme="minorHAnsi" w:cstheme="minorHAnsi"/>
        </w:rPr>
        <w:t xml:space="preserve"> “the sheer breadth of this definition potentially criminalizes legitimate political opposition and institutional critique.”</w:t>
      </w:r>
      <w:r w:rsidR="000D2427" w:rsidRPr="00930FD8">
        <w:rPr>
          <w:rStyle w:val="FootnoteReference"/>
          <w:rFonts w:asciiTheme="minorHAnsi" w:hAnsiTheme="minorHAnsi" w:cstheme="minorHAnsi"/>
        </w:rPr>
        <w:footnoteReference w:id="31"/>
      </w:r>
      <w:r w:rsidR="009B46FC" w:rsidRPr="00930FD8">
        <w:rPr>
          <w:rFonts w:asciiTheme="minorHAnsi" w:hAnsiTheme="minorHAnsi" w:cstheme="minorHAnsi"/>
        </w:rPr>
        <w:t xml:space="preserve"> </w:t>
      </w:r>
      <w:r w:rsidR="00DE45FA" w:rsidRPr="00930FD8">
        <w:rPr>
          <w:rFonts w:asciiTheme="minorHAnsi" w:hAnsiTheme="minorHAnsi" w:cstheme="minorHAnsi"/>
          <w:color w:val="000000" w:themeColor="text1"/>
        </w:rPr>
        <w:t>Contest 2</w:t>
      </w:r>
      <w:r w:rsidRPr="00930FD8">
        <w:rPr>
          <w:rFonts w:asciiTheme="minorHAnsi" w:hAnsiTheme="minorHAnsi" w:cstheme="minorHAnsi"/>
          <w:color w:val="000000" w:themeColor="text1"/>
        </w:rPr>
        <w:t xml:space="preserve"> </w:t>
      </w:r>
      <w:r w:rsidR="000E63D9" w:rsidRPr="00930FD8">
        <w:rPr>
          <w:rFonts w:asciiTheme="minorHAnsi" w:hAnsiTheme="minorHAnsi" w:cstheme="minorHAnsi"/>
          <w:color w:val="000000" w:themeColor="text1"/>
        </w:rPr>
        <w:t>also inspired</w:t>
      </w:r>
      <w:r w:rsidRPr="00930FD8">
        <w:rPr>
          <w:rFonts w:asciiTheme="minorHAnsi" w:hAnsiTheme="minorHAnsi" w:cstheme="minorHAnsi"/>
          <w:color w:val="000000" w:themeColor="text1"/>
        </w:rPr>
        <w:t xml:space="preserve"> the roll out of new </w:t>
      </w:r>
      <w:proofErr w:type="spellStart"/>
      <w:r w:rsidRPr="00930FD8">
        <w:rPr>
          <w:rFonts w:asciiTheme="minorHAnsi" w:hAnsiTheme="minorHAnsi" w:cstheme="minorHAnsi"/>
          <w:color w:val="000000" w:themeColor="text1"/>
        </w:rPr>
        <w:t>programmes</w:t>
      </w:r>
      <w:proofErr w:type="spellEnd"/>
      <w:r w:rsidRPr="00930FD8">
        <w:rPr>
          <w:rFonts w:asciiTheme="minorHAnsi" w:hAnsiTheme="minorHAnsi" w:cstheme="minorHAnsi"/>
          <w:color w:val="000000" w:themeColor="text1"/>
        </w:rPr>
        <w:t xml:space="preserve"> designed to promote ‘British values’</w:t>
      </w:r>
      <w:r w:rsidR="000E63D9" w:rsidRPr="00930FD8">
        <w:rPr>
          <w:rFonts w:asciiTheme="minorHAnsi" w:hAnsiTheme="minorHAnsi" w:cstheme="minorHAnsi"/>
          <w:color w:val="000000" w:themeColor="text1"/>
        </w:rPr>
        <w:t xml:space="preserve">, </w:t>
      </w:r>
      <w:r w:rsidR="00D52111" w:rsidRPr="00930FD8">
        <w:rPr>
          <w:rFonts w:asciiTheme="minorHAnsi" w:hAnsiTheme="minorHAnsi" w:cstheme="minorHAnsi"/>
          <w:color w:val="000000" w:themeColor="text1"/>
        </w:rPr>
        <w:t>and</w:t>
      </w:r>
      <w:r w:rsidR="000E63D9" w:rsidRPr="00930FD8">
        <w:rPr>
          <w:rFonts w:asciiTheme="minorHAnsi" w:hAnsiTheme="minorHAnsi" w:cstheme="minorHAnsi"/>
          <w:color w:val="000000" w:themeColor="text1"/>
        </w:rPr>
        <w:t xml:space="preserve"> in doing so it also created a whole new arena of contention, </w:t>
      </w:r>
      <w:r w:rsidR="00D52111" w:rsidRPr="00930FD8">
        <w:rPr>
          <w:rFonts w:asciiTheme="minorHAnsi" w:hAnsiTheme="minorHAnsi" w:cstheme="minorHAnsi"/>
          <w:color w:val="000000" w:themeColor="text1"/>
        </w:rPr>
        <w:t>as well as</w:t>
      </w:r>
      <w:r w:rsidR="000E63D9" w:rsidRPr="00930FD8">
        <w:rPr>
          <w:rFonts w:asciiTheme="minorHAnsi" w:hAnsiTheme="minorHAnsi" w:cstheme="minorHAnsi"/>
          <w:color w:val="000000" w:themeColor="text1"/>
        </w:rPr>
        <w:t xml:space="preserve"> </w:t>
      </w:r>
      <w:r w:rsidR="00C45F9F" w:rsidRPr="00930FD8">
        <w:rPr>
          <w:rFonts w:asciiTheme="minorHAnsi" w:hAnsiTheme="minorHAnsi" w:cstheme="minorHAnsi"/>
          <w:color w:val="000000" w:themeColor="text1"/>
        </w:rPr>
        <w:t xml:space="preserve">a </w:t>
      </w:r>
      <w:r w:rsidR="000E63D9" w:rsidRPr="00930FD8">
        <w:rPr>
          <w:rFonts w:asciiTheme="minorHAnsi" w:hAnsiTheme="minorHAnsi" w:cstheme="minorHAnsi"/>
          <w:color w:val="000000" w:themeColor="text1"/>
        </w:rPr>
        <w:t xml:space="preserve">potential </w:t>
      </w:r>
      <w:r w:rsidR="00C45F9F" w:rsidRPr="00930FD8">
        <w:rPr>
          <w:rFonts w:asciiTheme="minorHAnsi" w:hAnsiTheme="minorHAnsi" w:cstheme="minorHAnsi"/>
          <w:color w:val="000000" w:themeColor="text1"/>
        </w:rPr>
        <w:t xml:space="preserve">new </w:t>
      </w:r>
      <w:r w:rsidR="000E63D9" w:rsidRPr="00930FD8">
        <w:rPr>
          <w:rFonts w:asciiTheme="minorHAnsi" w:hAnsiTheme="minorHAnsi" w:cstheme="minorHAnsi"/>
          <w:color w:val="000000" w:themeColor="text1"/>
        </w:rPr>
        <w:t>source of alienation</w:t>
      </w:r>
      <w:r w:rsidRPr="00930FD8">
        <w:rPr>
          <w:rFonts w:asciiTheme="minorHAnsi" w:hAnsiTheme="minorHAnsi" w:cstheme="minorHAnsi"/>
          <w:color w:val="000000" w:themeColor="text1"/>
        </w:rPr>
        <w:t>.</w:t>
      </w:r>
      <w:r w:rsidRPr="00930FD8">
        <w:rPr>
          <w:rStyle w:val="FootnoteReference"/>
          <w:rFonts w:asciiTheme="minorHAnsi" w:hAnsiTheme="minorHAnsi" w:cstheme="minorHAnsi"/>
          <w:color w:val="000000" w:themeColor="text1"/>
        </w:rPr>
        <w:footnoteReference w:id="32"/>
      </w:r>
      <w:r w:rsidRPr="00930FD8">
        <w:rPr>
          <w:rFonts w:asciiTheme="minorHAnsi" w:hAnsiTheme="minorHAnsi" w:cstheme="minorHAnsi"/>
          <w:color w:val="000000" w:themeColor="text1"/>
        </w:rPr>
        <w:t xml:space="preserve"> </w:t>
      </w:r>
      <w:r w:rsidR="000E63D9" w:rsidRPr="00930FD8">
        <w:rPr>
          <w:rFonts w:asciiTheme="minorHAnsi" w:hAnsiTheme="minorHAnsi" w:cstheme="minorHAnsi"/>
          <w:color w:val="000000" w:themeColor="text1"/>
        </w:rPr>
        <w:t>As Gordon Brown</w:t>
      </w:r>
      <w:r w:rsidR="009856E1" w:rsidRPr="00930FD8">
        <w:rPr>
          <w:rFonts w:asciiTheme="minorHAnsi" w:hAnsiTheme="minorHAnsi" w:cstheme="minorHAnsi"/>
          <w:color w:val="000000" w:themeColor="text1"/>
        </w:rPr>
        <w:t>’s</w:t>
      </w:r>
      <w:r w:rsidR="000E63D9" w:rsidRPr="00930FD8">
        <w:rPr>
          <w:rFonts w:asciiTheme="minorHAnsi" w:hAnsiTheme="minorHAnsi" w:cstheme="minorHAnsi"/>
          <w:color w:val="000000" w:themeColor="text1"/>
        </w:rPr>
        <w:t xml:space="preserve"> successor </w:t>
      </w:r>
      <w:r w:rsidR="00DE45FA" w:rsidRPr="00930FD8">
        <w:rPr>
          <w:rFonts w:asciiTheme="minorHAnsi" w:hAnsiTheme="minorHAnsi" w:cstheme="minorHAnsi"/>
        </w:rPr>
        <w:t xml:space="preserve">David Cameron </w:t>
      </w:r>
      <w:r w:rsidR="009856E1" w:rsidRPr="00930FD8">
        <w:rPr>
          <w:rFonts w:asciiTheme="minorHAnsi" w:hAnsiTheme="minorHAnsi" w:cstheme="minorHAnsi"/>
        </w:rPr>
        <w:t>told an audience</w:t>
      </w:r>
      <w:r w:rsidR="00DE45FA" w:rsidRPr="00930FD8">
        <w:rPr>
          <w:rFonts w:asciiTheme="minorHAnsi" w:hAnsiTheme="minorHAnsi" w:cstheme="minorHAnsi"/>
        </w:rPr>
        <w:t xml:space="preserve"> at </w:t>
      </w:r>
      <w:r w:rsidR="009856E1" w:rsidRPr="00930FD8">
        <w:rPr>
          <w:rFonts w:asciiTheme="minorHAnsi" w:hAnsiTheme="minorHAnsi" w:cstheme="minorHAnsi"/>
        </w:rPr>
        <w:t xml:space="preserve">Birmingham’s </w:t>
      </w:r>
      <w:proofErr w:type="spellStart"/>
      <w:r w:rsidR="00DE45FA" w:rsidRPr="00930FD8">
        <w:rPr>
          <w:rFonts w:asciiTheme="minorHAnsi" w:hAnsiTheme="minorHAnsi" w:cstheme="minorHAnsi"/>
        </w:rPr>
        <w:t>Ninestiles</w:t>
      </w:r>
      <w:proofErr w:type="spellEnd"/>
      <w:r w:rsidR="00DE45FA" w:rsidRPr="00930FD8">
        <w:rPr>
          <w:rFonts w:asciiTheme="minorHAnsi" w:hAnsiTheme="minorHAnsi" w:cstheme="minorHAnsi"/>
        </w:rPr>
        <w:t xml:space="preserve"> school in</w:t>
      </w:r>
      <w:r w:rsidR="009856E1" w:rsidRPr="00930FD8">
        <w:rPr>
          <w:rFonts w:asciiTheme="minorHAnsi" w:hAnsiTheme="minorHAnsi" w:cstheme="minorHAnsi"/>
        </w:rPr>
        <w:t xml:space="preserve"> July 2015</w:t>
      </w:r>
      <w:r w:rsidR="00DE45FA" w:rsidRPr="00930FD8">
        <w:rPr>
          <w:rFonts w:asciiTheme="minorHAnsi" w:hAnsiTheme="minorHAnsi" w:cstheme="minorHAnsi"/>
        </w:rPr>
        <w:t xml:space="preserve">: “Some argue </w:t>
      </w:r>
      <w:r w:rsidR="00C45F9F" w:rsidRPr="00930FD8">
        <w:rPr>
          <w:rFonts w:asciiTheme="minorHAnsi" w:hAnsiTheme="minorHAnsi" w:cstheme="minorHAnsi"/>
        </w:rPr>
        <w:t>[there is terrorism]</w:t>
      </w:r>
      <w:r w:rsidR="00DE45FA" w:rsidRPr="00930FD8">
        <w:rPr>
          <w:rFonts w:asciiTheme="minorHAnsi" w:hAnsiTheme="minorHAnsi" w:cstheme="minorHAnsi"/>
        </w:rPr>
        <w:t xml:space="preserve"> because of historic injustices and recent wars, or because of poverty and hardship. This a</w:t>
      </w:r>
      <w:r w:rsidR="000A6DC9" w:rsidRPr="00930FD8">
        <w:rPr>
          <w:rFonts w:asciiTheme="minorHAnsi" w:hAnsiTheme="minorHAnsi" w:cstheme="minorHAnsi"/>
        </w:rPr>
        <w:t>rgu</w:t>
      </w:r>
      <w:r w:rsidR="00DE45FA" w:rsidRPr="00930FD8">
        <w:rPr>
          <w:rFonts w:asciiTheme="minorHAnsi" w:hAnsiTheme="minorHAnsi" w:cstheme="minorHAnsi"/>
        </w:rPr>
        <w:t>ment, what I call the grievance justification, must be challenged.”</w:t>
      </w:r>
      <w:r w:rsidR="00DE45FA" w:rsidRPr="00930FD8">
        <w:rPr>
          <w:rStyle w:val="FootnoteReference"/>
          <w:rFonts w:asciiTheme="minorHAnsi" w:hAnsiTheme="minorHAnsi" w:cstheme="minorHAnsi"/>
        </w:rPr>
        <w:footnoteReference w:id="33"/>
      </w:r>
    </w:p>
    <w:p w14:paraId="00BFC0E0" w14:textId="77777777" w:rsidR="00646616" w:rsidRPr="00646616" w:rsidRDefault="00646616" w:rsidP="00646616">
      <w:pPr>
        <w:pStyle w:val="BodyText"/>
        <w:jc w:val="both"/>
        <w:rPr>
          <w:rFonts w:asciiTheme="minorHAnsi" w:eastAsia="Times New Roman" w:hAnsiTheme="minorHAnsi" w:cstheme="minorHAnsi"/>
          <w:color w:val="000000" w:themeColor="text1"/>
          <w:sz w:val="24"/>
          <w:szCs w:val="24"/>
        </w:rPr>
      </w:pPr>
    </w:p>
    <w:p w14:paraId="19EF0AE8" w14:textId="74C609CA" w:rsidR="00A25970" w:rsidRPr="009E2CC2" w:rsidRDefault="00F3398D" w:rsidP="009E2CC2">
      <w:pPr>
        <w:jc w:val="both"/>
        <w:rPr>
          <w:rFonts w:asciiTheme="minorHAnsi" w:hAnsiTheme="minorHAnsi" w:cstheme="minorHAnsi"/>
        </w:rPr>
      </w:pPr>
      <w:r w:rsidRPr="00646616">
        <w:rPr>
          <w:rFonts w:asciiTheme="minorHAnsi" w:hAnsiTheme="minorHAnsi" w:cstheme="minorHAnsi"/>
          <w:color w:val="000000" w:themeColor="text1"/>
        </w:rPr>
        <w:t>In 2011</w:t>
      </w:r>
      <w:r w:rsidR="00384B0C">
        <w:rPr>
          <w:rFonts w:asciiTheme="minorHAnsi" w:hAnsiTheme="minorHAnsi" w:cstheme="minorHAnsi"/>
          <w:color w:val="000000" w:themeColor="text1"/>
        </w:rPr>
        <w:t>,</w:t>
      </w:r>
      <w:r w:rsidRPr="00646616">
        <w:rPr>
          <w:rFonts w:asciiTheme="minorHAnsi" w:hAnsiTheme="minorHAnsi" w:cstheme="minorHAnsi"/>
          <w:color w:val="000000" w:themeColor="text1"/>
        </w:rPr>
        <w:t xml:space="preserve"> </w:t>
      </w:r>
      <w:r w:rsidR="009856E1">
        <w:rPr>
          <w:rFonts w:asciiTheme="minorHAnsi" w:hAnsiTheme="minorHAnsi" w:cstheme="minorHAnsi"/>
          <w:color w:val="000000" w:themeColor="text1"/>
        </w:rPr>
        <w:t>Cameron’s</w:t>
      </w:r>
      <w:r w:rsidRPr="00646616">
        <w:rPr>
          <w:rFonts w:asciiTheme="minorHAnsi" w:hAnsiTheme="minorHAnsi" w:cstheme="minorHAnsi"/>
          <w:color w:val="000000" w:themeColor="text1"/>
        </w:rPr>
        <w:t xml:space="preserve"> </w:t>
      </w:r>
      <w:r w:rsidR="009856E1">
        <w:rPr>
          <w:rFonts w:asciiTheme="minorHAnsi" w:hAnsiTheme="minorHAnsi" w:cstheme="minorHAnsi"/>
          <w:color w:val="000000" w:themeColor="text1"/>
        </w:rPr>
        <w:t xml:space="preserve">incoming </w:t>
      </w:r>
      <w:r w:rsidRPr="00646616">
        <w:rPr>
          <w:rFonts w:asciiTheme="minorHAnsi" w:hAnsiTheme="minorHAnsi" w:cstheme="minorHAnsi"/>
          <w:color w:val="000000" w:themeColor="text1"/>
        </w:rPr>
        <w:t xml:space="preserve">Conservative-led coalition government </w:t>
      </w:r>
      <w:r w:rsidR="009B46FC">
        <w:rPr>
          <w:rFonts w:asciiTheme="minorHAnsi" w:hAnsiTheme="minorHAnsi" w:cstheme="minorHAnsi"/>
          <w:color w:val="000000" w:themeColor="text1"/>
        </w:rPr>
        <w:t xml:space="preserve">had </w:t>
      </w:r>
      <w:r w:rsidRPr="00646616">
        <w:rPr>
          <w:rFonts w:asciiTheme="minorHAnsi" w:hAnsiTheme="minorHAnsi" w:cstheme="minorHAnsi"/>
          <w:color w:val="000000" w:themeColor="text1"/>
        </w:rPr>
        <w:t xml:space="preserve">reorganized the Prevent </w:t>
      </w:r>
      <w:r w:rsidR="00384B0C">
        <w:rPr>
          <w:rFonts w:asciiTheme="minorHAnsi" w:hAnsiTheme="minorHAnsi" w:cstheme="minorHAnsi"/>
          <w:color w:val="000000" w:themeColor="text1"/>
        </w:rPr>
        <w:t>pillar</w:t>
      </w:r>
      <w:r w:rsidRPr="00646616">
        <w:rPr>
          <w:rFonts w:asciiTheme="minorHAnsi" w:hAnsiTheme="minorHAnsi" w:cstheme="minorHAnsi"/>
          <w:color w:val="000000" w:themeColor="text1"/>
        </w:rPr>
        <w:t xml:space="preserve"> around three specific strategic objectives: “</w:t>
      </w:r>
      <w:r w:rsidR="00266B34">
        <w:rPr>
          <w:rFonts w:asciiTheme="minorHAnsi" w:hAnsiTheme="minorHAnsi" w:cstheme="minorHAnsi"/>
          <w:color w:val="000000" w:themeColor="text1"/>
        </w:rPr>
        <w:t>[R]</w:t>
      </w:r>
      <w:proofErr w:type="spellStart"/>
      <w:r w:rsidRPr="00646616">
        <w:rPr>
          <w:rFonts w:asciiTheme="minorHAnsi" w:hAnsiTheme="minorHAnsi" w:cstheme="minorHAnsi"/>
          <w:color w:val="000000" w:themeColor="text1"/>
        </w:rPr>
        <w:t>espond</w:t>
      </w:r>
      <w:proofErr w:type="spellEnd"/>
      <w:r w:rsidRPr="00646616">
        <w:rPr>
          <w:rFonts w:asciiTheme="minorHAnsi" w:hAnsiTheme="minorHAnsi" w:cstheme="minorHAnsi"/>
          <w:color w:val="000000" w:themeColor="text1"/>
        </w:rPr>
        <w:t xml:space="preserve"> to the ideological challenge of terrorism and the threat we face from those who promote it; prevent people from being drawn into terrorism and ensure that they are given appropriate advice and support; [and] work with sectors and institutions where there are risks of </w:t>
      </w:r>
      <w:proofErr w:type="spellStart"/>
      <w:r w:rsidRPr="00646616">
        <w:rPr>
          <w:rFonts w:asciiTheme="minorHAnsi" w:hAnsiTheme="minorHAnsi" w:cstheme="minorHAnsi"/>
          <w:color w:val="000000" w:themeColor="text1"/>
        </w:rPr>
        <w:t>radicalisation</w:t>
      </w:r>
      <w:proofErr w:type="spellEnd"/>
      <w:r w:rsidRPr="00646616">
        <w:rPr>
          <w:rFonts w:asciiTheme="minorHAnsi" w:hAnsiTheme="minorHAnsi" w:cstheme="minorHAnsi"/>
          <w:color w:val="000000" w:themeColor="text1"/>
        </w:rPr>
        <w:t xml:space="preserve"> that we need to address.”</w:t>
      </w:r>
      <w:r w:rsidRPr="00646616">
        <w:rPr>
          <w:rStyle w:val="FootnoteReference"/>
          <w:rFonts w:asciiTheme="minorHAnsi" w:hAnsiTheme="minorHAnsi" w:cstheme="minorHAnsi"/>
          <w:color w:val="000000" w:themeColor="text1"/>
        </w:rPr>
        <w:footnoteReference w:id="34"/>
      </w:r>
      <w:r w:rsidRPr="00646616">
        <w:rPr>
          <w:rFonts w:asciiTheme="minorHAnsi" w:hAnsiTheme="minorHAnsi" w:cstheme="minorHAnsi"/>
          <w:color w:val="000000" w:themeColor="text1"/>
        </w:rPr>
        <w:t xml:space="preserve"> </w:t>
      </w:r>
      <w:r w:rsidR="009E2CC2" w:rsidRPr="00072694">
        <w:rPr>
          <w:rFonts w:asciiTheme="minorHAnsi" w:hAnsiTheme="minorHAnsi" w:cstheme="minorHAnsi"/>
          <w:color w:val="121212"/>
          <w:shd w:val="clear" w:color="auto" w:fill="FFFFFF"/>
        </w:rPr>
        <w:t xml:space="preserve">Extremism </w:t>
      </w:r>
      <w:r w:rsidR="009E2CC2">
        <w:rPr>
          <w:rFonts w:asciiTheme="minorHAnsi" w:hAnsiTheme="minorHAnsi" w:cstheme="minorHAnsi"/>
          <w:color w:val="121212"/>
          <w:shd w:val="clear" w:color="auto" w:fill="FFFFFF"/>
        </w:rPr>
        <w:t>was</w:t>
      </w:r>
      <w:r w:rsidR="009E2CC2" w:rsidRPr="00072694">
        <w:rPr>
          <w:rFonts w:asciiTheme="minorHAnsi" w:hAnsiTheme="minorHAnsi" w:cstheme="minorHAnsi"/>
          <w:color w:val="121212"/>
          <w:shd w:val="clear" w:color="auto" w:fill="FFFFFF"/>
        </w:rPr>
        <w:t xml:space="preserve"> </w:t>
      </w:r>
      <w:r w:rsidR="00926CDB">
        <w:rPr>
          <w:rFonts w:asciiTheme="minorHAnsi" w:hAnsiTheme="minorHAnsi" w:cstheme="minorHAnsi"/>
          <w:color w:val="121212"/>
          <w:shd w:val="clear" w:color="auto" w:fill="FFFFFF"/>
        </w:rPr>
        <w:t xml:space="preserve">now </w:t>
      </w:r>
      <w:r w:rsidR="009E2CC2" w:rsidRPr="00072694">
        <w:rPr>
          <w:rFonts w:asciiTheme="minorHAnsi" w:hAnsiTheme="minorHAnsi" w:cstheme="minorHAnsi"/>
          <w:color w:val="121212"/>
          <w:shd w:val="clear" w:color="auto" w:fill="FFFFFF"/>
        </w:rPr>
        <w:t xml:space="preserve">defined as “vocal or active opposition to </w:t>
      </w:r>
      <w:r w:rsidR="009E2CC2" w:rsidRPr="00072694">
        <w:rPr>
          <w:rFonts w:asciiTheme="minorHAnsi" w:hAnsiTheme="minorHAnsi" w:cstheme="minorHAnsi"/>
          <w:color w:val="121212"/>
          <w:shd w:val="clear" w:color="auto" w:fill="FFFFFF"/>
        </w:rPr>
        <w:lastRenderedPageBreak/>
        <w:t xml:space="preserve">fundamental British values, including democracy, the rule of law, individual liberty and mutual respect and tolerance of different faiths and beliefs”, as well as </w:t>
      </w:r>
      <w:r w:rsidR="009E2CC2">
        <w:rPr>
          <w:rFonts w:asciiTheme="minorHAnsi" w:hAnsiTheme="minorHAnsi" w:cstheme="minorHAnsi"/>
          <w:color w:val="121212"/>
          <w:shd w:val="clear" w:color="auto" w:fill="FFFFFF"/>
        </w:rPr>
        <w:t xml:space="preserve">making </w:t>
      </w:r>
      <w:r w:rsidR="009E2CC2" w:rsidRPr="00072694">
        <w:rPr>
          <w:rFonts w:asciiTheme="minorHAnsi" w:hAnsiTheme="minorHAnsi" w:cstheme="minorHAnsi"/>
          <w:color w:val="121212"/>
          <w:shd w:val="clear" w:color="auto" w:fill="FFFFFF"/>
        </w:rPr>
        <w:t>calls for the death of armed forces personnel.</w:t>
      </w:r>
      <w:r w:rsidR="009E2CC2">
        <w:rPr>
          <w:rStyle w:val="FootnoteReference"/>
          <w:rFonts w:asciiTheme="minorHAnsi" w:hAnsiTheme="minorHAnsi" w:cstheme="minorHAnsi"/>
          <w:color w:val="121212"/>
          <w:shd w:val="clear" w:color="auto" w:fill="FFFFFF"/>
        </w:rPr>
        <w:footnoteReference w:id="35"/>
      </w:r>
      <w:r w:rsidR="009E2CC2">
        <w:rPr>
          <w:rFonts w:asciiTheme="minorHAnsi" w:hAnsiTheme="minorHAnsi" w:cstheme="minorHAnsi"/>
          <w:color w:val="121212"/>
          <w:shd w:val="clear" w:color="auto" w:fill="FFFFFF"/>
        </w:rPr>
        <w:t xml:space="preserve"> </w:t>
      </w:r>
      <w:r w:rsidRPr="00646616">
        <w:rPr>
          <w:rFonts w:asciiTheme="minorHAnsi" w:hAnsiTheme="minorHAnsi" w:cstheme="minorHAnsi"/>
          <w:color w:val="000000" w:themeColor="text1"/>
        </w:rPr>
        <w:t>In February</w:t>
      </w:r>
      <w:r w:rsidRPr="00325344">
        <w:rPr>
          <w:rFonts w:asciiTheme="minorHAnsi" w:hAnsiTheme="minorHAnsi" w:cstheme="minorHAnsi"/>
          <w:color w:val="000000" w:themeColor="text1"/>
        </w:rPr>
        <w:t xml:space="preserve"> 2015 the </w:t>
      </w:r>
      <w:r w:rsidR="00694C04">
        <w:rPr>
          <w:rFonts w:asciiTheme="minorHAnsi" w:hAnsiTheme="minorHAnsi" w:cstheme="minorHAnsi"/>
          <w:color w:val="000000" w:themeColor="text1"/>
        </w:rPr>
        <w:t xml:space="preserve">Cameron </w:t>
      </w:r>
      <w:r w:rsidRPr="00325344">
        <w:rPr>
          <w:rFonts w:asciiTheme="minorHAnsi" w:hAnsiTheme="minorHAnsi" w:cstheme="minorHAnsi"/>
          <w:color w:val="000000" w:themeColor="text1"/>
        </w:rPr>
        <w:t xml:space="preserve">government successfully introduced the Counter-Terrorism and Security Act (CTSA), which included a provision creating a </w:t>
      </w:r>
      <w:r w:rsidR="00A25970">
        <w:rPr>
          <w:rFonts w:asciiTheme="minorHAnsi" w:hAnsiTheme="minorHAnsi" w:cstheme="minorHAnsi"/>
          <w:color w:val="000000" w:themeColor="text1"/>
        </w:rPr>
        <w:t xml:space="preserve">new </w:t>
      </w:r>
      <w:r w:rsidRPr="00325344">
        <w:rPr>
          <w:rFonts w:asciiTheme="minorHAnsi" w:hAnsiTheme="minorHAnsi" w:cstheme="minorHAnsi"/>
          <w:color w:val="000000" w:themeColor="text1"/>
        </w:rPr>
        <w:t xml:space="preserve">legal duty </w:t>
      </w:r>
      <w:r w:rsidR="00640D77">
        <w:rPr>
          <w:rFonts w:asciiTheme="minorHAnsi" w:hAnsiTheme="minorHAnsi" w:cstheme="minorHAnsi"/>
          <w:color w:val="000000" w:themeColor="text1"/>
        </w:rPr>
        <w:t xml:space="preserve">– known as the Prevent Duty - </w:t>
      </w:r>
      <w:r w:rsidRPr="00325344">
        <w:rPr>
          <w:rFonts w:asciiTheme="minorHAnsi" w:hAnsiTheme="minorHAnsi" w:cstheme="minorHAnsi"/>
          <w:color w:val="000000" w:themeColor="text1"/>
        </w:rPr>
        <w:t>for a range of public bodies including universities, schools, National Health Service Trusts and criminal justice entities to give “due regard to prevent people from being drawn into terrorism”.</w:t>
      </w:r>
      <w:r w:rsidRPr="00325344">
        <w:rPr>
          <w:rStyle w:val="FootnoteReference"/>
          <w:rFonts w:asciiTheme="minorHAnsi" w:hAnsiTheme="minorHAnsi" w:cstheme="minorHAnsi"/>
          <w:color w:val="000000" w:themeColor="text1"/>
        </w:rPr>
        <w:footnoteReference w:id="36"/>
      </w:r>
      <w:r w:rsidRPr="00325344">
        <w:rPr>
          <w:rFonts w:asciiTheme="minorHAnsi" w:hAnsiTheme="minorHAnsi" w:cstheme="minorHAnsi"/>
          <w:color w:val="000000" w:themeColor="text1"/>
        </w:rPr>
        <w:t xml:space="preserve"> </w:t>
      </w:r>
      <w:r w:rsidR="00A25970" w:rsidRPr="00A25970">
        <w:rPr>
          <w:rFonts w:asciiTheme="minorHAnsi" w:hAnsiTheme="minorHAnsi" w:cstheme="minorHAnsi"/>
          <w:color w:val="000000" w:themeColor="text1"/>
        </w:rPr>
        <w:t xml:space="preserve">Workshop </w:t>
      </w:r>
      <w:r w:rsidR="00B06710">
        <w:rPr>
          <w:rFonts w:asciiTheme="minorHAnsi" w:hAnsiTheme="minorHAnsi" w:cstheme="minorHAnsi"/>
          <w:color w:val="000000" w:themeColor="text1"/>
        </w:rPr>
        <w:t xml:space="preserve">materials </w:t>
      </w:r>
      <w:r w:rsidR="00A25970" w:rsidRPr="00A25970">
        <w:rPr>
          <w:rFonts w:asciiTheme="minorHAnsi" w:hAnsiTheme="minorHAnsi" w:cstheme="minorHAnsi"/>
          <w:color w:val="000000" w:themeColor="text1"/>
        </w:rPr>
        <w:t xml:space="preserve">prepared by the Home Office </w:t>
      </w:r>
      <w:r w:rsidR="00A25970">
        <w:rPr>
          <w:rFonts w:asciiTheme="minorHAnsi" w:hAnsiTheme="minorHAnsi" w:cstheme="minorHAnsi"/>
          <w:color w:val="000000" w:themeColor="text1"/>
        </w:rPr>
        <w:t xml:space="preserve">in 2016 </w:t>
      </w:r>
      <w:r w:rsidR="00B06710" w:rsidRPr="00A25970">
        <w:rPr>
          <w:rFonts w:asciiTheme="minorHAnsi" w:hAnsiTheme="minorHAnsi" w:cstheme="minorHAnsi"/>
          <w:color w:val="000000" w:themeColor="text1"/>
        </w:rPr>
        <w:t xml:space="preserve">to </w:t>
      </w:r>
      <w:r w:rsidR="00B06710">
        <w:rPr>
          <w:rFonts w:asciiTheme="minorHAnsi" w:hAnsiTheme="minorHAnsi" w:cstheme="minorHAnsi"/>
          <w:color w:val="000000" w:themeColor="text1"/>
        </w:rPr>
        <w:t>r</w:t>
      </w:r>
      <w:r w:rsidR="00B06710" w:rsidRPr="00A25970">
        <w:rPr>
          <w:rFonts w:asciiTheme="minorHAnsi" w:hAnsiTheme="minorHAnsi" w:cstheme="minorHAnsi"/>
          <w:color w:val="000000" w:themeColor="text1"/>
        </w:rPr>
        <w:t xml:space="preserve">aise </w:t>
      </w:r>
      <w:r w:rsidR="00B06710">
        <w:rPr>
          <w:rFonts w:asciiTheme="minorHAnsi" w:hAnsiTheme="minorHAnsi" w:cstheme="minorHAnsi"/>
          <w:color w:val="000000" w:themeColor="text1"/>
        </w:rPr>
        <w:t>a</w:t>
      </w:r>
      <w:r w:rsidR="00B06710" w:rsidRPr="00A25970">
        <w:rPr>
          <w:rFonts w:asciiTheme="minorHAnsi" w:hAnsiTheme="minorHAnsi" w:cstheme="minorHAnsi"/>
          <w:color w:val="000000" w:themeColor="text1"/>
        </w:rPr>
        <w:t xml:space="preserve">wareness of Prevent </w:t>
      </w:r>
      <w:r w:rsidR="00B06710">
        <w:rPr>
          <w:rFonts w:asciiTheme="minorHAnsi" w:hAnsiTheme="minorHAnsi" w:cstheme="minorHAnsi"/>
          <w:color w:val="000000" w:themeColor="text1"/>
        </w:rPr>
        <w:t xml:space="preserve">within these public bodies </w:t>
      </w:r>
      <w:r w:rsidR="00A25970" w:rsidRPr="00A25970">
        <w:rPr>
          <w:rFonts w:asciiTheme="minorHAnsi" w:hAnsiTheme="minorHAnsi" w:cstheme="minorHAnsi"/>
          <w:color w:val="000000" w:themeColor="text1"/>
        </w:rPr>
        <w:t>noted:</w:t>
      </w:r>
      <w:r w:rsidR="00A25970" w:rsidRPr="00A25970">
        <w:rPr>
          <w:rFonts w:asciiTheme="minorHAnsi" w:hAnsiTheme="minorHAnsi" w:cstheme="minorHAnsi"/>
        </w:rPr>
        <w:t xml:space="preserve"> “The number of those at risk are comparatively small. However, the risk is there, and the potential consequences of it mean we can’t ignore the possibility – no matter how remote it is</w:t>
      </w:r>
      <w:r w:rsidR="00A25970" w:rsidRPr="00A25970">
        <w:rPr>
          <w:rFonts w:asciiTheme="minorHAnsi" w:hAnsiTheme="minorHAnsi" w:cstheme="minorHAnsi"/>
          <w:color w:val="0B0C0C"/>
        </w:rPr>
        <w:t>.”</w:t>
      </w:r>
      <w:r w:rsidR="00A25970" w:rsidRPr="00A25970">
        <w:rPr>
          <w:rStyle w:val="FootnoteReference"/>
          <w:rFonts w:asciiTheme="minorHAnsi" w:hAnsiTheme="minorHAnsi" w:cstheme="minorHAnsi"/>
          <w:color w:val="0B0C0C"/>
        </w:rPr>
        <w:footnoteReference w:id="37"/>
      </w:r>
      <w:r w:rsidR="00A25970" w:rsidRPr="00A25970">
        <w:rPr>
          <w:rFonts w:asciiTheme="minorHAnsi" w:hAnsiTheme="minorHAnsi" w:cstheme="minorHAnsi"/>
          <w:color w:val="0B0C0C"/>
        </w:rPr>
        <w:t xml:space="preserve"> Such a formulation inevitably create</w:t>
      </w:r>
      <w:r w:rsidR="00A25970">
        <w:rPr>
          <w:rFonts w:asciiTheme="minorHAnsi" w:hAnsiTheme="minorHAnsi" w:cstheme="minorHAnsi"/>
          <w:color w:val="0B0C0C"/>
        </w:rPr>
        <w:t>s</w:t>
      </w:r>
      <w:r w:rsidR="00A25970" w:rsidRPr="00A25970">
        <w:rPr>
          <w:rFonts w:asciiTheme="minorHAnsi" w:hAnsiTheme="minorHAnsi" w:cstheme="minorHAnsi"/>
          <w:color w:val="0B0C0C"/>
        </w:rPr>
        <w:t xml:space="preserve"> a bias for action.</w:t>
      </w:r>
    </w:p>
    <w:p w14:paraId="45EB8F29" w14:textId="78DFFC25" w:rsidR="00A45D82" w:rsidRDefault="00A45D82" w:rsidP="00646616">
      <w:pPr>
        <w:pStyle w:val="BodyText"/>
        <w:jc w:val="both"/>
        <w:rPr>
          <w:rFonts w:asciiTheme="minorHAnsi" w:hAnsiTheme="minorHAnsi" w:cstheme="minorHAnsi"/>
          <w:color w:val="0B0C0C"/>
          <w:sz w:val="24"/>
          <w:szCs w:val="24"/>
        </w:rPr>
      </w:pPr>
    </w:p>
    <w:p w14:paraId="43D918FE" w14:textId="04998283" w:rsidR="00A45D82" w:rsidRPr="00A45D82" w:rsidRDefault="00A45D82" w:rsidP="00A45D82">
      <w:pPr>
        <w:jc w:val="both"/>
        <w:rPr>
          <w:rFonts w:asciiTheme="minorHAnsi" w:hAnsiTheme="minorHAnsi" w:cstheme="minorHAnsi"/>
        </w:rPr>
      </w:pPr>
      <w:r>
        <w:rPr>
          <w:rFonts w:asciiTheme="minorHAnsi" w:hAnsiTheme="minorHAnsi" w:cstheme="minorHAnsi"/>
        </w:rPr>
        <w:t xml:space="preserve">The existing </w:t>
      </w:r>
      <w:r w:rsidR="00134370">
        <w:rPr>
          <w:rFonts w:asciiTheme="minorHAnsi" w:hAnsiTheme="minorHAnsi" w:cstheme="minorHAnsi"/>
        </w:rPr>
        <w:t xml:space="preserve">publicly </w:t>
      </w:r>
      <w:r>
        <w:rPr>
          <w:rFonts w:asciiTheme="minorHAnsi" w:hAnsiTheme="minorHAnsi" w:cstheme="minorHAnsi"/>
        </w:rPr>
        <w:t xml:space="preserve">available data on the Channel </w:t>
      </w:r>
      <w:proofErr w:type="spellStart"/>
      <w:r>
        <w:rPr>
          <w:rFonts w:asciiTheme="minorHAnsi" w:hAnsiTheme="minorHAnsi" w:cstheme="minorHAnsi"/>
        </w:rPr>
        <w:t>programme</w:t>
      </w:r>
      <w:proofErr w:type="spellEnd"/>
      <w:r>
        <w:rPr>
          <w:rFonts w:asciiTheme="minorHAnsi" w:hAnsiTheme="minorHAnsi" w:cstheme="minorHAnsi"/>
        </w:rPr>
        <w:t xml:space="preserve"> is inchoate and hard to </w:t>
      </w:r>
      <w:r w:rsidR="00163A5D">
        <w:rPr>
          <w:rFonts w:asciiTheme="minorHAnsi" w:hAnsiTheme="minorHAnsi" w:cstheme="minorHAnsi"/>
        </w:rPr>
        <w:t>investigate</w:t>
      </w:r>
      <w:r>
        <w:rPr>
          <w:rFonts w:asciiTheme="minorHAnsi" w:hAnsiTheme="minorHAnsi" w:cstheme="minorHAnsi"/>
        </w:rPr>
        <w:t xml:space="preserve"> in any real de</w:t>
      </w:r>
      <w:r w:rsidR="00163A5D">
        <w:rPr>
          <w:rFonts w:asciiTheme="minorHAnsi" w:hAnsiTheme="minorHAnsi" w:cstheme="minorHAnsi"/>
        </w:rPr>
        <w:t>pth</w:t>
      </w:r>
      <w:r>
        <w:rPr>
          <w:rFonts w:asciiTheme="minorHAnsi" w:hAnsiTheme="minorHAnsi" w:cstheme="minorHAnsi"/>
        </w:rPr>
        <w:t xml:space="preserve">, which makes it challenging for researchers to produce definitive analysis regarding the success or otherwise of the </w:t>
      </w:r>
      <w:proofErr w:type="spellStart"/>
      <w:r>
        <w:rPr>
          <w:rFonts w:asciiTheme="minorHAnsi" w:hAnsiTheme="minorHAnsi" w:cstheme="minorHAnsi"/>
        </w:rPr>
        <w:t>programme</w:t>
      </w:r>
      <w:proofErr w:type="spellEnd"/>
      <w:r>
        <w:rPr>
          <w:rFonts w:asciiTheme="minorHAnsi" w:hAnsiTheme="minorHAnsi" w:cstheme="minorHAnsi"/>
        </w:rPr>
        <w:t>. However,</w:t>
      </w:r>
      <w:r w:rsidR="00163A5D">
        <w:rPr>
          <w:rFonts w:asciiTheme="minorHAnsi" w:hAnsiTheme="minorHAnsi" w:cstheme="minorHAnsi"/>
        </w:rPr>
        <w:t xml:space="preserve"> there is</w:t>
      </w:r>
      <w:r>
        <w:rPr>
          <w:rFonts w:asciiTheme="minorHAnsi" w:hAnsiTheme="minorHAnsi" w:cstheme="minorHAnsi"/>
        </w:rPr>
        <w:t xml:space="preserve"> much can be interfered from what we do know. </w:t>
      </w:r>
      <w:r w:rsidRPr="004D3EA5">
        <w:rPr>
          <w:rFonts w:asciiTheme="minorHAnsi" w:hAnsiTheme="minorHAnsi" w:cstheme="minorHAnsi"/>
        </w:rPr>
        <w:t>There were 4,869 terrorism-related arrests in Great Britain between September 11</w:t>
      </w:r>
      <w:r w:rsidRPr="004D3EA5">
        <w:rPr>
          <w:rFonts w:asciiTheme="minorHAnsi" w:hAnsiTheme="minorHAnsi" w:cstheme="minorHAnsi"/>
          <w:vertAlign w:val="superscript"/>
        </w:rPr>
        <w:t>th</w:t>
      </w:r>
      <w:r w:rsidRPr="004D3EA5">
        <w:rPr>
          <w:rFonts w:asciiTheme="minorHAnsi" w:hAnsiTheme="minorHAnsi" w:cstheme="minorHAnsi"/>
        </w:rPr>
        <w:t xml:space="preserve"> 2001 and 31 December 2020 – an average of 270 arrests a year over eighteen years. These resulted in a total of 665 convictions, including 50 convictions for non-terrorism related offences – an average of 37 convictions a year.</w:t>
      </w:r>
      <w:r w:rsidRPr="004D3EA5">
        <w:rPr>
          <w:rStyle w:val="FootnoteReference"/>
          <w:rFonts w:asciiTheme="minorHAnsi" w:hAnsiTheme="minorHAnsi" w:cstheme="minorHAnsi"/>
        </w:rPr>
        <w:footnoteReference w:id="38"/>
      </w:r>
      <w:r w:rsidRPr="004D3EA5">
        <w:rPr>
          <w:rFonts w:asciiTheme="minorHAnsi" w:hAnsiTheme="minorHAnsi" w:cstheme="minorHAnsi"/>
        </w:rPr>
        <w:t xml:space="preserve"> </w:t>
      </w:r>
      <w:r w:rsidRPr="00930FD8">
        <w:rPr>
          <w:rFonts w:asciiTheme="minorHAnsi" w:hAnsiTheme="minorHAnsi" w:cstheme="minorHAnsi"/>
          <w:color w:val="141414"/>
          <w:bdr w:val="none" w:sz="0" w:space="0" w:color="auto" w:frame="1"/>
        </w:rPr>
        <w:t>Between April 2012 and March 2017</w:t>
      </w:r>
      <w:r>
        <w:rPr>
          <w:rFonts w:asciiTheme="minorHAnsi" w:hAnsiTheme="minorHAnsi" w:cstheme="minorHAnsi"/>
          <w:color w:val="141414"/>
          <w:bdr w:val="none" w:sz="0" w:space="0" w:color="auto" w:frame="1"/>
        </w:rPr>
        <w:t>,</w:t>
      </w:r>
      <w:r w:rsidRPr="00930FD8">
        <w:rPr>
          <w:rFonts w:asciiTheme="minorHAnsi" w:hAnsiTheme="minorHAnsi" w:cstheme="minorHAnsi"/>
          <w:color w:val="141414"/>
          <w:bdr w:val="none" w:sz="0" w:space="0" w:color="auto" w:frame="1"/>
        </w:rPr>
        <w:t xml:space="preserve"> 3,251 individual cases were referred to the Channel </w:t>
      </w:r>
      <w:proofErr w:type="spellStart"/>
      <w:r w:rsidRPr="00930FD8">
        <w:rPr>
          <w:rFonts w:asciiTheme="minorHAnsi" w:hAnsiTheme="minorHAnsi" w:cstheme="minorHAnsi"/>
          <w:color w:val="141414"/>
          <w:bdr w:val="none" w:sz="0" w:space="0" w:color="auto" w:frame="1"/>
        </w:rPr>
        <w:t>programme</w:t>
      </w:r>
      <w:proofErr w:type="spellEnd"/>
      <w:r w:rsidRPr="00930FD8">
        <w:rPr>
          <w:rFonts w:asciiTheme="minorHAnsi" w:hAnsiTheme="minorHAnsi" w:cstheme="minorHAnsi"/>
          <w:color w:val="141414"/>
          <w:bdr w:val="none" w:sz="0" w:space="0" w:color="auto" w:frame="1"/>
        </w:rPr>
        <w:t>, resulting in the provision of support to 1,316 individuals.</w:t>
      </w:r>
      <w:r w:rsidRPr="00930FD8">
        <w:rPr>
          <w:rStyle w:val="FootnoteReference"/>
          <w:rFonts w:asciiTheme="minorHAnsi" w:hAnsiTheme="minorHAnsi" w:cstheme="minorHAnsi"/>
          <w:color w:val="141414"/>
          <w:bdr w:val="none" w:sz="0" w:space="0" w:color="auto" w:frame="1"/>
        </w:rPr>
        <w:footnoteReference w:id="39"/>
      </w:r>
      <w:r w:rsidRPr="00930FD8">
        <w:rPr>
          <w:rFonts w:asciiTheme="minorHAnsi" w:hAnsiTheme="minorHAnsi" w:cstheme="minorHAnsi"/>
          <w:color w:val="141414"/>
          <w:bdr w:val="none" w:sz="0" w:space="0" w:color="auto" w:frame="1"/>
        </w:rPr>
        <w:t xml:space="preserve"> The </w:t>
      </w:r>
      <w:r>
        <w:rPr>
          <w:rFonts w:asciiTheme="minorHAnsi" w:hAnsiTheme="minorHAnsi" w:cstheme="minorHAnsi"/>
          <w:color w:val="141414"/>
          <w:bdr w:val="none" w:sz="0" w:space="0" w:color="auto" w:frame="1"/>
        </w:rPr>
        <w:t xml:space="preserve">average annual </w:t>
      </w:r>
      <w:r w:rsidRPr="00930FD8">
        <w:rPr>
          <w:rFonts w:asciiTheme="minorHAnsi" w:hAnsiTheme="minorHAnsi" w:cstheme="minorHAnsi"/>
          <w:color w:val="141414"/>
          <w:bdr w:val="none" w:sz="0" w:space="0" w:color="auto" w:frame="1"/>
        </w:rPr>
        <w:t xml:space="preserve">number of Channel referrals </w:t>
      </w:r>
      <w:r>
        <w:rPr>
          <w:rFonts w:asciiTheme="minorHAnsi" w:hAnsiTheme="minorHAnsi" w:cstheme="minorHAnsi"/>
          <w:color w:val="141414"/>
          <w:bdr w:val="none" w:sz="0" w:space="0" w:color="auto" w:frame="1"/>
        </w:rPr>
        <w:t>was thus</w:t>
      </w:r>
      <w:r w:rsidRPr="00930FD8">
        <w:rPr>
          <w:rFonts w:asciiTheme="minorHAnsi" w:hAnsiTheme="minorHAnsi" w:cstheme="minorHAnsi"/>
          <w:color w:val="141414"/>
          <w:bdr w:val="none" w:sz="0" w:space="0" w:color="auto" w:frame="1"/>
        </w:rPr>
        <w:t xml:space="preserve"> roughly double that of the average </w:t>
      </w:r>
      <w:r>
        <w:rPr>
          <w:rFonts w:asciiTheme="minorHAnsi" w:hAnsiTheme="minorHAnsi" w:cstheme="minorHAnsi"/>
          <w:color w:val="141414"/>
          <w:bdr w:val="none" w:sz="0" w:space="0" w:color="auto" w:frame="1"/>
        </w:rPr>
        <w:t xml:space="preserve">annual </w:t>
      </w:r>
      <w:r w:rsidRPr="00930FD8">
        <w:rPr>
          <w:rFonts w:asciiTheme="minorHAnsi" w:hAnsiTheme="minorHAnsi" w:cstheme="minorHAnsi"/>
          <w:color w:val="141414"/>
          <w:bdr w:val="none" w:sz="0" w:space="0" w:color="auto" w:frame="1"/>
        </w:rPr>
        <w:t>number of terrorism-related arrests</w:t>
      </w:r>
      <w:r>
        <w:rPr>
          <w:rFonts w:asciiTheme="minorHAnsi" w:hAnsiTheme="minorHAnsi" w:cstheme="minorHAnsi"/>
          <w:color w:val="141414"/>
          <w:bdr w:val="none" w:sz="0" w:space="0" w:color="auto" w:frame="1"/>
        </w:rPr>
        <w:t>,</w:t>
      </w:r>
      <w:r w:rsidRPr="00930FD8">
        <w:rPr>
          <w:rFonts w:asciiTheme="minorHAnsi" w:hAnsiTheme="minorHAnsi" w:cstheme="minorHAnsi"/>
          <w:color w:val="141414"/>
          <w:bdr w:val="none" w:sz="0" w:space="0" w:color="auto" w:frame="1"/>
        </w:rPr>
        <w:t xml:space="preserve"> and more than 17 times the number of actual convictions.</w:t>
      </w:r>
      <w:r w:rsidRPr="00930FD8">
        <w:rPr>
          <w:rStyle w:val="FootnoteReference"/>
          <w:rFonts w:asciiTheme="minorHAnsi" w:hAnsiTheme="minorHAnsi" w:cstheme="minorHAnsi"/>
          <w:color w:val="141414"/>
          <w:bdr w:val="none" w:sz="0" w:space="0" w:color="auto" w:frame="1"/>
        </w:rPr>
        <w:footnoteReference w:id="40"/>
      </w:r>
      <w:r w:rsidRPr="00B9217F">
        <w:rPr>
          <w:rFonts w:asciiTheme="minorHAnsi" w:hAnsiTheme="minorHAnsi" w:cstheme="minorHAnsi"/>
        </w:rPr>
        <w:t xml:space="preserve"> </w:t>
      </w:r>
      <w:r w:rsidRPr="004D3EA5">
        <w:rPr>
          <w:rFonts w:asciiTheme="minorHAnsi" w:hAnsiTheme="minorHAnsi" w:cstheme="minorHAnsi"/>
        </w:rPr>
        <w:t xml:space="preserve">Ben Wallace, the British minister responsible for security and economic crime, </w:t>
      </w:r>
      <w:r>
        <w:rPr>
          <w:rFonts w:asciiTheme="minorHAnsi" w:hAnsiTheme="minorHAnsi" w:cstheme="minorHAnsi"/>
        </w:rPr>
        <w:t>report</w:t>
      </w:r>
      <w:r w:rsidRPr="004D3EA5">
        <w:rPr>
          <w:rFonts w:asciiTheme="minorHAnsi" w:hAnsiTheme="minorHAnsi" w:cstheme="minorHAnsi"/>
        </w:rPr>
        <w:t xml:space="preserve">ed that between April 2015 to September 2020 over 780 individuals had left the Channel </w:t>
      </w:r>
      <w:proofErr w:type="spellStart"/>
      <w:r w:rsidRPr="004D3EA5">
        <w:rPr>
          <w:rFonts w:asciiTheme="minorHAnsi" w:hAnsiTheme="minorHAnsi" w:cstheme="minorHAnsi"/>
        </w:rPr>
        <w:t>pro</w:t>
      </w:r>
      <w:r>
        <w:rPr>
          <w:rFonts w:asciiTheme="minorHAnsi" w:hAnsiTheme="minorHAnsi" w:cstheme="minorHAnsi"/>
        </w:rPr>
        <w:t>gramme</w:t>
      </w:r>
      <w:proofErr w:type="spellEnd"/>
      <w:r w:rsidRPr="004D3EA5">
        <w:rPr>
          <w:rFonts w:asciiTheme="minorHAnsi" w:hAnsiTheme="minorHAnsi" w:cstheme="minorHAnsi"/>
        </w:rPr>
        <w:t xml:space="preserve"> with no further terrorism-related concerns – an average of 130 individuals a year over six years.</w:t>
      </w:r>
      <w:r w:rsidRPr="004D3EA5">
        <w:rPr>
          <w:rStyle w:val="FootnoteReference"/>
          <w:rFonts w:asciiTheme="minorHAnsi" w:hAnsiTheme="minorHAnsi" w:cstheme="minorHAnsi"/>
        </w:rPr>
        <w:footnoteReference w:id="41"/>
      </w:r>
      <w:r w:rsidRPr="004D3EA5">
        <w:rPr>
          <w:rFonts w:asciiTheme="minorHAnsi" w:hAnsiTheme="minorHAnsi" w:cstheme="minorHAnsi"/>
        </w:rPr>
        <w:t xml:space="preserve"> </w:t>
      </w:r>
      <w:r>
        <w:rPr>
          <w:rFonts w:asciiTheme="minorHAnsi" w:hAnsiTheme="minorHAnsi" w:cstheme="minorHAnsi"/>
        </w:rPr>
        <w:t xml:space="preserve">Of course, </w:t>
      </w:r>
      <w:r>
        <w:rPr>
          <w:rFonts w:asciiTheme="minorHAnsi" w:hAnsiTheme="minorHAnsi" w:cstheme="minorHAnsi"/>
        </w:rPr>
        <w:lastRenderedPageBreak/>
        <w:t xml:space="preserve">this figure presupposes that they posed a genuine threat to begin with. </w:t>
      </w:r>
      <w:r w:rsidRPr="004D3EA5">
        <w:rPr>
          <w:rFonts w:asciiTheme="minorHAnsi" w:hAnsiTheme="minorHAnsi" w:cstheme="minorHAnsi"/>
          <w:color w:val="231F20"/>
        </w:rPr>
        <w:t xml:space="preserve">The Oxford University political scientist Karma Nabulsi </w:t>
      </w:r>
      <w:r>
        <w:rPr>
          <w:rFonts w:asciiTheme="minorHAnsi" w:hAnsiTheme="minorHAnsi" w:cstheme="minorHAnsi"/>
          <w:color w:val="231F20"/>
        </w:rPr>
        <w:t xml:space="preserve">reported </w:t>
      </w:r>
      <w:r w:rsidRPr="004D3EA5">
        <w:rPr>
          <w:rFonts w:asciiTheme="minorHAnsi" w:hAnsiTheme="minorHAnsi" w:cstheme="minorHAnsi"/>
          <w:color w:val="231F20"/>
        </w:rPr>
        <w:t xml:space="preserve">in May 2017 </w:t>
      </w:r>
      <w:r>
        <w:rPr>
          <w:rFonts w:asciiTheme="minorHAnsi" w:hAnsiTheme="minorHAnsi" w:cstheme="minorHAnsi"/>
          <w:color w:val="231F20"/>
        </w:rPr>
        <w:t xml:space="preserve">that she had successfully obtained results from a </w:t>
      </w:r>
      <w:r w:rsidRPr="004D3EA5">
        <w:rPr>
          <w:rFonts w:asciiTheme="minorHAnsi" w:hAnsiTheme="minorHAnsi" w:cstheme="minorHAnsi"/>
          <w:color w:val="231F20"/>
        </w:rPr>
        <w:t xml:space="preserve">Freedom of Information Act request </w:t>
      </w:r>
      <w:r>
        <w:rPr>
          <w:rFonts w:asciiTheme="minorHAnsi" w:hAnsiTheme="minorHAnsi" w:cstheme="minorHAnsi"/>
          <w:color w:val="231F20"/>
        </w:rPr>
        <w:t xml:space="preserve">that </w:t>
      </w:r>
      <w:r w:rsidRPr="004D3EA5">
        <w:rPr>
          <w:rFonts w:asciiTheme="minorHAnsi" w:hAnsiTheme="minorHAnsi" w:cstheme="minorHAnsi"/>
          <w:color w:val="231F20"/>
        </w:rPr>
        <w:t xml:space="preserve">revealed </w:t>
      </w:r>
      <w:r>
        <w:rPr>
          <w:rFonts w:asciiTheme="minorHAnsi" w:hAnsiTheme="minorHAnsi" w:cstheme="minorHAnsi"/>
          <w:color w:val="231F20"/>
        </w:rPr>
        <w:t xml:space="preserve">that </w:t>
      </w:r>
      <w:r w:rsidRPr="004D3EA5">
        <w:rPr>
          <w:rFonts w:asciiTheme="minorHAnsi" w:hAnsiTheme="minorHAnsi" w:cstheme="minorHAnsi"/>
          <w:color w:val="231F20"/>
        </w:rPr>
        <w:t xml:space="preserve">more than 80% of the reports to the British authorities </w:t>
      </w:r>
      <w:r>
        <w:rPr>
          <w:rFonts w:asciiTheme="minorHAnsi" w:hAnsiTheme="minorHAnsi" w:cstheme="minorHAnsi"/>
          <w:color w:val="231F20"/>
        </w:rPr>
        <w:t xml:space="preserve">concerning </w:t>
      </w:r>
      <w:r w:rsidRPr="004D3EA5">
        <w:rPr>
          <w:rFonts w:asciiTheme="minorHAnsi" w:hAnsiTheme="minorHAnsi" w:cstheme="minorHAnsi"/>
          <w:color w:val="231F20"/>
        </w:rPr>
        <w:t>individuals suspected of extremism had been dismissed</w:t>
      </w:r>
      <w:r>
        <w:rPr>
          <w:rFonts w:asciiTheme="minorHAnsi" w:hAnsiTheme="minorHAnsi" w:cstheme="minorHAnsi"/>
          <w:color w:val="231F20"/>
        </w:rPr>
        <w:t xml:space="preserve"> without further action</w:t>
      </w:r>
      <w:r w:rsidRPr="004D3EA5">
        <w:rPr>
          <w:rFonts w:asciiTheme="minorHAnsi" w:hAnsiTheme="minorHAnsi" w:cstheme="minorHAnsi"/>
          <w:color w:val="231F20"/>
        </w:rPr>
        <w:t>.</w:t>
      </w:r>
      <w:r w:rsidRPr="004D3EA5">
        <w:rPr>
          <w:rStyle w:val="FootnoteReference"/>
          <w:rFonts w:asciiTheme="minorHAnsi" w:hAnsiTheme="minorHAnsi" w:cstheme="minorHAnsi"/>
          <w:color w:val="231F20"/>
        </w:rPr>
        <w:footnoteReference w:id="42"/>
      </w:r>
      <w:r>
        <w:rPr>
          <w:rFonts w:asciiTheme="minorHAnsi" w:hAnsiTheme="minorHAnsi" w:cstheme="minorHAnsi"/>
          <w:color w:val="231F20"/>
        </w:rPr>
        <w:t xml:space="preserve"> </w:t>
      </w:r>
    </w:p>
    <w:p w14:paraId="4CD7C22A" w14:textId="0C40A518" w:rsidR="006D088B" w:rsidRPr="00DF510F" w:rsidRDefault="006D088B" w:rsidP="00C52A04">
      <w:pPr>
        <w:pStyle w:val="BodyText"/>
        <w:jc w:val="both"/>
        <w:rPr>
          <w:rFonts w:asciiTheme="minorHAnsi" w:eastAsia="Times New Roman" w:hAnsiTheme="minorHAnsi" w:cstheme="minorHAnsi"/>
          <w:color w:val="0B0C0C"/>
          <w:sz w:val="24"/>
          <w:szCs w:val="24"/>
        </w:rPr>
      </w:pPr>
    </w:p>
    <w:p w14:paraId="270A4969" w14:textId="06E2FAB3" w:rsidR="006D088B" w:rsidRPr="00DF510F" w:rsidRDefault="006D088B" w:rsidP="00C52A04">
      <w:pPr>
        <w:pStyle w:val="BodyText"/>
        <w:jc w:val="both"/>
        <w:rPr>
          <w:rFonts w:asciiTheme="minorHAnsi" w:eastAsia="Times New Roman" w:hAnsiTheme="minorHAnsi" w:cstheme="minorHAnsi"/>
          <w:i/>
          <w:iCs/>
          <w:color w:val="0B0C0C"/>
          <w:sz w:val="24"/>
          <w:szCs w:val="24"/>
        </w:rPr>
      </w:pPr>
      <w:r w:rsidRPr="00DF510F">
        <w:rPr>
          <w:rFonts w:asciiTheme="minorHAnsi" w:eastAsia="Times New Roman" w:hAnsiTheme="minorHAnsi" w:cstheme="minorHAnsi"/>
          <w:i/>
          <w:iCs/>
          <w:color w:val="0B0C0C"/>
          <w:sz w:val="24"/>
          <w:szCs w:val="24"/>
        </w:rPr>
        <w:t>False Positives</w:t>
      </w:r>
    </w:p>
    <w:p w14:paraId="64A6BBEF" w14:textId="77777777" w:rsidR="001E20BB" w:rsidRPr="00DF510F" w:rsidRDefault="001E20BB" w:rsidP="001E20BB">
      <w:pPr>
        <w:jc w:val="both"/>
        <w:rPr>
          <w:rFonts w:asciiTheme="minorHAnsi" w:hAnsiTheme="minorHAnsi" w:cstheme="minorHAnsi"/>
          <w:color w:val="000000" w:themeColor="text1"/>
        </w:rPr>
      </w:pPr>
    </w:p>
    <w:p w14:paraId="77C95AD3" w14:textId="6D76CD24" w:rsidR="00E23CE2" w:rsidRPr="00DF510F" w:rsidRDefault="00900A87" w:rsidP="001E20BB">
      <w:pPr>
        <w:jc w:val="both"/>
        <w:rPr>
          <w:rFonts w:asciiTheme="minorHAnsi" w:hAnsiTheme="minorHAnsi" w:cstheme="minorHAnsi"/>
          <w:color w:val="121212"/>
          <w:shd w:val="clear" w:color="auto" w:fill="FFFFFF"/>
        </w:rPr>
      </w:pPr>
      <w:r w:rsidRPr="00DF510F">
        <w:rPr>
          <w:rFonts w:asciiTheme="minorHAnsi" w:hAnsiTheme="minorHAnsi" w:cstheme="minorHAnsi"/>
          <w:color w:val="000000" w:themeColor="text1"/>
        </w:rPr>
        <w:t>It is in t</w:t>
      </w:r>
      <w:r w:rsidR="001E20BB" w:rsidRPr="00DF510F">
        <w:rPr>
          <w:rFonts w:asciiTheme="minorHAnsi" w:hAnsiTheme="minorHAnsi" w:cstheme="minorHAnsi"/>
          <w:color w:val="000000" w:themeColor="text1"/>
        </w:rPr>
        <w:t>he very nature of early intervention programs that they focus their attention on younger members of society, including on some occasions, minors below the minimum age of criminal responsibility</w:t>
      </w:r>
      <w:r w:rsidR="00543799" w:rsidRPr="00DF510F">
        <w:rPr>
          <w:rFonts w:asciiTheme="minorHAnsi" w:hAnsiTheme="minorHAnsi" w:cstheme="minorHAnsi"/>
          <w:color w:val="000000" w:themeColor="text1"/>
        </w:rPr>
        <w:t xml:space="preserve">, which in </w:t>
      </w:r>
      <w:r w:rsidR="00477950" w:rsidRPr="00DF510F">
        <w:rPr>
          <w:rFonts w:asciiTheme="minorHAnsi" w:hAnsiTheme="minorHAnsi" w:cstheme="minorHAnsi"/>
          <w:color w:val="000000" w:themeColor="text1"/>
        </w:rPr>
        <w:t>England and Wales</w:t>
      </w:r>
      <w:r w:rsidR="00543799" w:rsidRPr="00DF510F">
        <w:rPr>
          <w:rFonts w:asciiTheme="minorHAnsi" w:hAnsiTheme="minorHAnsi" w:cstheme="minorHAnsi"/>
          <w:color w:val="000000" w:themeColor="text1"/>
        </w:rPr>
        <w:t xml:space="preserve"> </w:t>
      </w:r>
      <w:r w:rsidR="001E20BB" w:rsidRPr="00DF510F">
        <w:rPr>
          <w:rFonts w:asciiTheme="minorHAnsi" w:hAnsiTheme="minorHAnsi" w:cstheme="minorHAnsi"/>
          <w:color w:val="000000" w:themeColor="text1"/>
        </w:rPr>
        <w:t>is a</w:t>
      </w:r>
      <w:r w:rsidR="0065306E" w:rsidRPr="00DF510F">
        <w:rPr>
          <w:rFonts w:asciiTheme="minorHAnsi" w:hAnsiTheme="minorHAnsi" w:cstheme="minorHAnsi"/>
          <w:color w:val="000000" w:themeColor="text1"/>
        </w:rPr>
        <w:t>lready a</w:t>
      </w:r>
      <w:r w:rsidR="001E20BB" w:rsidRPr="00DF510F">
        <w:rPr>
          <w:rFonts w:asciiTheme="minorHAnsi" w:hAnsiTheme="minorHAnsi" w:cstheme="minorHAnsi"/>
          <w:color w:val="000000" w:themeColor="text1"/>
        </w:rPr>
        <w:t xml:space="preserve"> remarkably low ten-years-old.</w:t>
      </w:r>
      <w:r w:rsidR="003D3425" w:rsidRPr="00DF510F">
        <w:rPr>
          <w:rStyle w:val="FootnoteReference"/>
          <w:rFonts w:asciiTheme="minorHAnsi" w:hAnsiTheme="minorHAnsi" w:cstheme="minorHAnsi"/>
          <w:color w:val="000000" w:themeColor="text1"/>
        </w:rPr>
        <w:footnoteReference w:id="43"/>
      </w:r>
      <w:r w:rsidR="001E20BB" w:rsidRPr="00DF510F">
        <w:rPr>
          <w:rFonts w:asciiTheme="minorHAnsi" w:hAnsiTheme="minorHAnsi" w:cstheme="minorHAnsi"/>
          <w:color w:val="000000" w:themeColor="text1"/>
        </w:rPr>
        <w:t xml:space="preserve"> </w:t>
      </w:r>
      <w:r w:rsidR="00543799" w:rsidRPr="00DF510F">
        <w:rPr>
          <w:rFonts w:asciiTheme="minorHAnsi" w:hAnsiTheme="minorHAnsi" w:cstheme="minorHAnsi"/>
          <w:color w:val="000000" w:themeColor="text1"/>
        </w:rPr>
        <w:t xml:space="preserve">The Prevent </w:t>
      </w:r>
      <w:r w:rsidR="00163A5D">
        <w:rPr>
          <w:rFonts w:asciiTheme="minorHAnsi" w:hAnsiTheme="minorHAnsi" w:cstheme="minorHAnsi"/>
          <w:color w:val="000000" w:themeColor="text1"/>
        </w:rPr>
        <w:t>strategy</w:t>
      </w:r>
      <w:r w:rsidR="00543799" w:rsidRPr="00DF510F">
        <w:rPr>
          <w:rFonts w:asciiTheme="minorHAnsi" w:hAnsiTheme="minorHAnsi" w:cstheme="minorHAnsi"/>
          <w:color w:val="000000" w:themeColor="text1"/>
        </w:rPr>
        <w:t xml:space="preserve"> has become associated with a number of high profile examples  of state overreach involving small children. Three stories in particular stand out. </w:t>
      </w:r>
      <w:r w:rsidR="001E20BB" w:rsidRPr="00DF510F">
        <w:rPr>
          <w:rFonts w:asciiTheme="minorHAnsi" w:hAnsiTheme="minorHAnsi" w:cstheme="minorHAnsi"/>
        </w:rPr>
        <w:t xml:space="preserve">In March 2016 the Guardian reported a Luton mother’s claim that </w:t>
      </w:r>
      <w:r w:rsidR="001E20BB" w:rsidRPr="00DF510F">
        <w:rPr>
          <w:rFonts w:asciiTheme="minorHAnsi" w:hAnsiTheme="minorHAnsi" w:cstheme="minorHAnsi"/>
          <w:color w:val="121212"/>
          <w:shd w:val="clear" w:color="auto" w:fill="FFFFFF"/>
        </w:rPr>
        <w:t>staff at her son’s nursery school had threatened to refer her four-year-old to Prevent after he drew pictures of his father cutting a cucumber with large knife. The child’s pronunciation of cucumber was misinterpreted by teacher as a ‘cooker bomb’ prompting further concern. In June 2021 an 11-year-old primary school pupil was referred to Prevent after a teacher mistook the word “alms” for “arms” when the boy said he wanted to give “alms to the oppressed”.</w:t>
      </w:r>
      <w:r w:rsidR="001E20BB" w:rsidRPr="00DF510F">
        <w:rPr>
          <w:rStyle w:val="FootnoteReference"/>
          <w:rFonts w:asciiTheme="minorHAnsi" w:hAnsiTheme="minorHAnsi" w:cstheme="minorHAnsi"/>
          <w:color w:val="121212"/>
          <w:shd w:val="clear" w:color="auto" w:fill="FFFFFF"/>
        </w:rPr>
        <w:footnoteReference w:id="44"/>
      </w:r>
      <w:r w:rsidR="001E20BB" w:rsidRPr="00DF510F">
        <w:rPr>
          <w:rFonts w:asciiTheme="minorHAnsi" w:hAnsiTheme="minorHAnsi" w:cstheme="minorHAnsi"/>
          <w:color w:val="121212"/>
        </w:rPr>
        <w:t xml:space="preserve"> </w:t>
      </w:r>
      <w:r w:rsidR="00E23CE2" w:rsidRPr="00DF510F">
        <w:rPr>
          <w:rFonts w:asciiTheme="minorHAnsi" w:hAnsiTheme="minorHAnsi" w:cstheme="minorHAnsi"/>
        </w:rPr>
        <w:t xml:space="preserve">In January 2022 another 11-year-old boy, a domestic abuse survivor with special educational needs, was referred to the Prevent </w:t>
      </w:r>
      <w:proofErr w:type="spellStart"/>
      <w:r w:rsidR="00E23CE2" w:rsidRPr="00DF510F">
        <w:rPr>
          <w:rFonts w:asciiTheme="minorHAnsi" w:hAnsiTheme="minorHAnsi" w:cstheme="minorHAnsi"/>
        </w:rPr>
        <w:t>programme</w:t>
      </w:r>
      <w:proofErr w:type="spellEnd"/>
      <w:r w:rsidR="00E23CE2" w:rsidRPr="00DF510F">
        <w:rPr>
          <w:rFonts w:asciiTheme="minorHAnsi" w:hAnsiTheme="minorHAnsi" w:cstheme="minorHAnsi"/>
        </w:rPr>
        <w:t xml:space="preserve"> after he told another pupil that he wished the school would really burn down during a fire drill. </w:t>
      </w:r>
      <w:r w:rsidR="00E23CE2" w:rsidRPr="00DF510F">
        <w:rPr>
          <w:rFonts w:asciiTheme="minorHAnsi" w:hAnsiTheme="minorHAnsi" w:cstheme="minorHAnsi"/>
          <w:color w:val="121212"/>
          <w:shd w:val="clear" w:color="auto" w:fill="FFFFFF"/>
        </w:rPr>
        <w:t xml:space="preserve">Although the Prevent officer who received the referral decided not to take the complaint any further, the boy’s details were still automatically added to the counter-terror policing database and it took a determined campaign from the boy’s mother to get his details expunged. According to the National Police Chiefs Council (NPCC), 415 children under 10, and 1,400 </w:t>
      </w:r>
      <w:r w:rsidR="00814444" w:rsidRPr="00DF510F">
        <w:rPr>
          <w:rFonts w:asciiTheme="minorHAnsi" w:hAnsiTheme="minorHAnsi" w:cstheme="minorHAnsi"/>
          <w:color w:val="121212"/>
          <w:shd w:val="clear" w:color="auto" w:fill="FFFFFF"/>
        </w:rPr>
        <w:t xml:space="preserve">children </w:t>
      </w:r>
      <w:r w:rsidR="00E23CE2" w:rsidRPr="00DF510F">
        <w:rPr>
          <w:rFonts w:asciiTheme="minorHAnsi" w:hAnsiTheme="minorHAnsi" w:cstheme="minorHAnsi"/>
          <w:color w:val="121212"/>
          <w:shd w:val="clear" w:color="auto" w:fill="FFFFFF"/>
        </w:rPr>
        <w:t>between 11 and 15-years-old</w:t>
      </w:r>
      <w:r w:rsidR="00814444" w:rsidRPr="00DF510F">
        <w:rPr>
          <w:rFonts w:asciiTheme="minorHAnsi" w:hAnsiTheme="minorHAnsi" w:cstheme="minorHAnsi"/>
          <w:color w:val="121212"/>
          <w:shd w:val="clear" w:color="auto" w:fill="FFFFFF"/>
        </w:rPr>
        <w:t>,</w:t>
      </w:r>
      <w:r w:rsidR="00E23CE2" w:rsidRPr="00DF510F">
        <w:rPr>
          <w:rFonts w:asciiTheme="minorHAnsi" w:hAnsiTheme="minorHAnsi" w:cstheme="minorHAnsi"/>
          <w:color w:val="121212"/>
          <w:shd w:val="clear" w:color="auto" w:fill="FFFFFF"/>
        </w:rPr>
        <w:t xml:space="preserve"> were referred to the Channel </w:t>
      </w:r>
      <w:proofErr w:type="spellStart"/>
      <w:r w:rsidR="00E23CE2" w:rsidRPr="00DF510F">
        <w:rPr>
          <w:rFonts w:asciiTheme="minorHAnsi" w:hAnsiTheme="minorHAnsi" w:cstheme="minorHAnsi"/>
          <w:color w:val="121212"/>
          <w:shd w:val="clear" w:color="auto" w:fill="FFFFFF"/>
        </w:rPr>
        <w:t>programme</w:t>
      </w:r>
      <w:proofErr w:type="spellEnd"/>
      <w:r w:rsidR="00E23CE2" w:rsidRPr="00DF510F">
        <w:rPr>
          <w:rFonts w:asciiTheme="minorHAnsi" w:hAnsiTheme="minorHAnsi" w:cstheme="minorHAnsi"/>
          <w:color w:val="121212"/>
          <w:shd w:val="clear" w:color="auto" w:fill="FFFFFF"/>
        </w:rPr>
        <w:t xml:space="preserve"> between April 2012 and December 2015.</w:t>
      </w:r>
      <w:r w:rsidR="00E23CE2" w:rsidRPr="00DF510F">
        <w:rPr>
          <w:rStyle w:val="FootnoteReference"/>
          <w:rFonts w:asciiTheme="minorHAnsi" w:hAnsiTheme="minorHAnsi" w:cstheme="minorHAnsi"/>
          <w:color w:val="121212"/>
          <w:shd w:val="clear" w:color="auto" w:fill="FFFFFF"/>
        </w:rPr>
        <w:footnoteReference w:id="45"/>
      </w:r>
    </w:p>
    <w:p w14:paraId="447D0D10" w14:textId="13750570" w:rsidR="00900A87" w:rsidRPr="00DF510F" w:rsidRDefault="00900A87" w:rsidP="00900A87">
      <w:pPr>
        <w:jc w:val="both"/>
        <w:rPr>
          <w:rFonts w:asciiTheme="minorHAnsi" w:hAnsiTheme="minorHAnsi" w:cstheme="minorHAnsi"/>
          <w:color w:val="121212"/>
          <w:shd w:val="clear" w:color="auto" w:fill="FFFFFF"/>
        </w:rPr>
      </w:pPr>
    </w:p>
    <w:p w14:paraId="4956D1A2" w14:textId="183DDD39" w:rsidR="00851D89" w:rsidRPr="00851D89" w:rsidRDefault="00101346" w:rsidP="00851D89">
      <w:pPr>
        <w:pStyle w:val="BodyText"/>
        <w:jc w:val="both"/>
        <w:rPr>
          <w:rFonts w:asciiTheme="minorHAnsi" w:eastAsia="Times New Roman" w:hAnsiTheme="minorHAnsi" w:cstheme="minorHAnsi"/>
          <w:color w:val="0B0C0C"/>
          <w:sz w:val="24"/>
          <w:szCs w:val="24"/>
        </w:rPr>
      </w:pPr>
      <w:r w:rsidRPr="00DF510F">
        <w:rPr>
          <w:rFonts w:asciiTheme="minorHAnsi" w:eastAsia="Times New Roman" w:hAnsiTheme="minorHAnsi" w:cstheme="minorHAnsi"/>
          <w:color w:val="121212"/>
          <w:sz w:val="24"/>
          <w:szCs w:val="24"/>
          <w:shd w:val="clear" w:color="auto" w:fill="FFFFFF"/>
        </w:rPr>
        <w:t xml:space="preserve">When one </w:t>
      </w:r>
      <w:r w:rsidR="00C21858" w:rsidRPr="00DF510F">
        <w:rPr>
          <w:rFonts w:asciiTheme="minorHAnsi" w:eastAsia="Times New Roman" w:hAnsiTheme="minorHAnsi" w:cstheme="minorHAnsi"/>
          <w:color w:val="121212"/>
          <w:sz w:val="24"/>
          <w:szCs w:val="24"/>
          <w:shd w:val="clear" w:color="auto" w:fill="FFFFFF"/>
        </w:rPr>
        <w:t>considers</w:t>
      </w:r>
      <w:r w:rsidRPr="00DF510F">
        <w:rPr>
          <w:rFonts w:asciiTheme="minorHAnsi" w:eastAsia="Times New Roman" w:hAnsiTheme="minorHAnsi" w:cstheme="minorHAnsi"/>
          <w:color w:val="121212"/>
          <w:sz w:val="24"/>
          <w:szCs w:val="24"/>
          <w:shd w:val="clear" w:color="auto" w:fill="FFFFFF"/>
        </w:rPr>
        <w:t xml:space="preserve"> </w:t>
      </w:r>
      <w:r w:rsidR="00794D65" w:rsidRPr="00DF510F">
        <w:rPr>
          <w:rFonts w:asciiTheme="minorHAnsi" w:eastAsia="Times New Roman" w:hAnsiTheme="minorHAnsi" w:cstheme="minorHAnsi"/>
          <w:color w:val="121212"/>
          <w:sz w:val="24"/>
          <w:szCs w:val="24"/>
          <w:shd w:val="clear" w:color="auto" w:fill="FFFFFF"/>
        </w:rPr>
        <w:t xml:space="preserve">the superficial </w:t>
      </w:r>
      <w:r w:rsidRPr="00DF510F">
        <w:rPr>
          <w:rFonts w:asciiTheme="minorHAnsi" w:eastAsia="Times New Roman" w:hAnsiTheme="minorHAnsi" w:cstheme="minorHAnsi"/>
          <w:color w:val="121212"/>
          <w:sz w:val="24"/>
          <w:szCs w:val="24"/>
          <w:shd w:val="clear" w:color="auto" w:fill="FFFFFF"/>
        </w:rPr>
        <w:t xml:space="preserve">level of training </w:t>
      </w:r>
      <w:r w:rsidR="00794D65" w:rsidRPr="00DF510F">
        <w:rPr>
          <w:rFonts w:asciiTheme="minorHAnsi" w:eastAsia="Times New Roman" w:hAnsiTheme="minorHAnsi" w:cstheme="minorHAnsi"/>
          <w:color w:val="121212"/>
          <w:sz w:val="24"/>
          <w:szCs w:val="24"/>
          <w:shd w:val="clear" w:color="auto" w:fill="FFFFFF"/>
        </w:rPr>
        <w:t xml:space="preserve">that most individuals within the education and health sectors </w:t>
      </w:r>
      <w:r w:rsidR="00C21858" w:rsidRPr="00DF510F">
        <w:rPr>
          <w:rFonts w:asciiTheme="minorHAnsi" w:eastAsia="Times New Roman" w:hAnsiTheme="minorHAnsi" w:cstheme="minorHAnsi"/>
          <w:color w:val="121212"/>
          <w:sz w:val="24"/>
          <w:szCs w:val="24"/>
          <w:shd w:val="clear" w:color="auto" w:fill="FFFFFF"/>
        </w:rPr>
        <w:t xml:space="preserve">charged </w:t>
      </w:r>
      <w:r w:rsidR="00794D65" w:rsidRPr="00DF510F">
        <w:rPr>
          <w:rFonts w:asciiTheme="minorHAnsi" w:eastAsia="Times New Roman" w:hAnsiTheme="minorHAnsi" w:cstheme="minorHAnsi"/>
          <w:color w:val="121212"/>
          <w:sz w:val="24"/>
          <w:szCs w:val="24"/>
          <w:shd w:val="clear" w:color="auto" w:fill="FFFFFF"/>
        </w:rPr>
        <w:t>with</w:t>
      </w:r>
      <w:r w:rsidR="00794D65" w:rsidRPr="00851D89">
        <w:rPr>
          <w:rFonts w:asciiTheme="minorHAnsi" w:eastAsia="Times New Roman" w:hAnsiTheme="minorHAnsi" w:cstheme="minorHAnsi"/>
          <w:color w:val="121212"/>
          <w:sz w:val="24"/>
          <w:szCs w:val="24"/>
          <w:shd w:val="clear" w:color="auto" w:fill="FFFFFF"/>
        </w:rPr>
        <w:t xml:space="preserve"> the </w:t>
      </w:r>
      <w:r w:rsidR="00C21858" w:rsidRPr="00851D89">
        <w:rPr>
          <w:rFonts w:asciiTheme="minorHAnsi" w:eastAsia="Times New Roman" w:hAnsiTheme="minorHAnsi" w:cstheme="minorHAnsi"/>
          <w:color w:val="121212"/>
          <w:sz w:val="24"/>
          <w:szCs w:val="24"/>
          <w:shd w:val="clear" w:color="auto" w:fill="FFFFFF"/>
        </w:rPr>
        <w:t xml:space="preserve">Prevent </w:t>
      </w:r>
      <w:r w:rsidR="00292808">
        <w:rPr>
          <w:rFonts w:asciiTheme="minorHAnsi" w:eastAsia="Times New Roman" w:hAnsiTheme="minorHAnsi" w:cstheme="minorHAnsi"/>
          <w:color w:val="121212"/>
          <w:sz w:val="24"/>
          <w:szCs w:val="24"/>
          <w:shd w:val="clear" w:color="auto" w:fill="FFFFFF"/>
        </w:rPr>
        <w:t>D</w:t>
      </w:r>
      <w:r w:rsidR="00794D65" w:rsidRPr="00851D89">
        <w:rPr>
          <w:rFonts w:asciiTheme="minorHAnsi" w:eastAsia="Times New Roman" w:hAnsiTheme="minorHAnsi" w:cstheme="minorHAnsi"/>
          <w:color w:val="121212"/>
          <w:sz w:val="24"/>
          <w:szCs w:val="24"/>
          <w:shd w:val="clear" w:color="auto" w:fill="FFFFFF"/>
        </w:rPr>
        <w:t xml:space="preserve">uty </w:t>
      </w:r>
      <w:r w:rsidR="00C21858" w:rsidRPr="00851D89">
        <w:rPr>
          <w:rFonts w:asciiTheme="minorHAnsi" w:eastAsia="Times New Roman" w:hAnsiTheme="minorHAnsi" w:cstheme="minorHAnsi"/>
          <w:color w:val="121212"/>
          <w:sz w:val="24"/>
          <w:szCs w:val="24"/>
          <w:shd w:val="clear" w:color="auto" w:fill="FFFFFF"/>
        </w:rPr>
        <w:t>actually</w:t>
      </w:r>
      <w:r w:rsidR="00794D65" w:rsidRPr="00851D89">
        <w:rPr>
          <w:rFonts w:asciiTheme="minorHAnsi" w:eastAsia="Times New Roman" w:hAnsiTheme="minorHAnsi" w:cstheme="minorHAnsi"/>
          <w:color w:val="121212"/>
          <w:sz w:val="24"/>
          <w:szCs w:val="24"/>
          <w:shd w:val="clear" w:color="auto" w:fill="FFFFFF"/>
        </w:rPr>
        <w:t xml:space="preserve"> receive – </w:t>
      </w:r>
      <w:r w:rsidR="00AE070A">
        <w:rPr>
          <w:rFonts w:asciiTheme="minorHAnsi" w:eastAsia="Times New Roman" w:hAnsiTheme="minorHAnsi" w:cstheme="minorHAnsi"/>
          <w:color w:val="121212"/>
          <w:sz w:val="24"/>
          <w:szCs w:val="24"/>
          <w:shd w:val="clear" w:color="auto" w:fill="FFFFFF"/>
        </w:rPr>
        <w:t>typically</w:t>
      </w:r>
      <w:r w:rsidR="00794D65" w:rsidRPr="00851D89">
        <w:rPr>
          <w:rFonts w:asciiTheme="minorHAnsi" w:eastAsia="Times New Roman" w:hAnsiTheme="minorHAnsi" w:cstheme="minorHAnsi"/>
          <w:color w:val="121212"/>
          <w:sz w:val="24"/>
          <w:szCs w:val="24"/>
          <w:shd w:val="clear" w:color="auto" w:fill="FFFFFF"/>
        </w:rPr>
        <w:t xml:space="preserve"> just two</w:t>
      </w:r>
      <w:r w:rsidR="00AE070A">
        <w:rPr>
          <w:rFonts w:asciiTheme="minorHAnsi" w:eastAsia="Times New Roman" w:hAnsiTheme="minorHAnsi" w:cstheme="minorHAnsi"/>
          <w:color w:val="121212"/>
          <w:sz w:val="24"/>
          <w:szCs w:val="24"/>
          <w:shd w:val="clear" w:color="auto" w:fill="FFFFFF"/>
        </w:rPr>
        <w:t xml:space="preserve"> to four</w:t>
      </w:r>
      <w:r w:rsidR="00794D65" w:rsidRPr="00851D89">
        <w:rPr>
          <w:rFonts w:asciiTheme="minorHAnsi" w:eastAsia="Times New Roman" w:hAnsiTheme="minorHAnsi" w:cstheme="minorHAnsi"/>
          <w:color w:val="121212"/>
          <w:sz w:val="24"/>
          <w:szCs w:val="24"/>
          <w:shd w:val="clear" w:color="auto" w:fill="FFFFFF"/>
        </w:rPr>
        <w:t xml:space="preserve"> days – it is </w:t>
      </w:r>
      <w:r w:rsidR="00C21858" w:rsidRPr="00851D89">
        <w:rPr>
          <w:rFonts w:asciiTheme="minorHAnsi" w:eastAsia="Times New Roman" w:hAnsiTheme="minorHAnsi" w:cstheme="minorHAnsi"/>
          <w:color w:val="121212"/>
          <w:sz w:val="24"/>
          <w:szCs w:val="24"/>
          <w:shd w:val="clear" w:color="auto" w:fill="FFFFFF"/>
        </w:rPr>
        <w:t xml:space="preserve">less </w:t>
      </w:r>
      <w:r w:rsidR="00794D65" w:rsidRPr="00851D89">
        <w:rPr>
          <w:rFonts w:asciiTheme="minorHAnsi" w:eastAsia="Times New Roman" w:hAnsiTheme="minorHAnsi" w:cstheme="minorHAnsi"/>
          <w:color w:val="121212"/>
          <w:sz w:val="24"/>
          <w:szCs w:val="24"/>
          <w:shd w:val="clear" w:color="auto" w:fill="FFFFFF"/>
        </w:rPr>
        <w:t xml:space="preserve">surprising that so many flawed referrals take place. </w:t>
      </w:r>
      <w:r w:rsidR="00B64BB4">
        <w:rPr>
          <w:rFonts w:asciiTheme="minorHAnsi" w:eastAsia="Times New Roman" w:hAnsiTheme="minorHAnsi" w:cstheme="minorHAnsi"/>
          <w:color w:val="0B0C0C"/>
          <w:sz w:val="24"/>
          <w:szCs w:val="24"/>
        </w:rPr>
        <w:t>The</w:t>
      </w:r>
      <w:r w:rsidR="00412DD2" w:rsidRPr="00851D89">
        <w:rPr>
          <w:rFonts w:asciiTheme="minorHAnsi" w:eastAsia="Times New Roman" w:hAnsiTheme="minorHAnsi" w:cstheme="minorHAnsi"/>
          <w:color w:val="0B0C0C"/>
          <w:sz w:val="24"/>
          <w:szCs w:val="24"/>
        </w:rPr>
        <w:t xml:space="preserve"> indicators </w:t>
      </w:r>
      <w:r w:rsidR="00814444">
        <w:rPr>
          <w:rFonts w:asciiTheme="minorHAnsi" w:eastAsia="Times New Roman" w:hAnsiTheme="minorHAnsi" w:cstheme="minorHAnsi"/>
          <w:color w:val="0B0C0C"/>
          <w:sz w:val="24"/>
          <w:szCs w:val="24"/>
        </w:rPr>
        <w:t>identified in</w:t>
      </w:r>
      <w:r w:rsidR="00814444" w:rsidRPr="00851D89">
        <w:rPr>
          <w:rFonts w:asciiTheme="minorHAnsi" w:eastAsia="Times New Roman" w:hAnsiTheme="minorHAnsi" w:cstheme="minorHAnsi"/>
          <w:color w:val="0B0C0C"/>
          <w:sz w:val="24"/>
          <w:szCs w:val="24"/>
        </w:rPr>
        <w:t xml:space="preserve"> the Prevent training materials </w:t>
      </w:r>
      <w:r w:rsidR="00814444">
        <w:rPr>
          <w:rFonts w:asciiTheme="minorHAnsi" w:eastAsia="Times New Roman" w:hAnsiTheme="minorHAnsi" w:cstheme="minorHAnsi"/>
          <w:color w:val="0B0C0C"/>
          <w:sz w:val="24"/>
          <w:szCs w:val="24"/>
        </w:rPr>
        <w:t xml:space="preserve">that might </w:t>
      </w:r>
      <w:r w:rsidR="00B64BB4">
        <w:rPr>
          <w:rFonts w:asciiTheme="minorHAnsi" w:eastAsia="Times New Roman" w:hAnsiTheme="minorHAnsi" w:cstheme="minorHAnsi"/>
          <w:color w:val="0B0C0C"/>
          <w:sz w:val="24"/>
          <w:szCs w:val="24"/>
        </w:rPr>
        <w:t xml:space="preserve">suggest an individual </w:t>
      </w:r>
      <w:r w:rsidR="00814444">
        <w:rPr>
          <w:rFonts w:asciiTheme="minorHAnsi" w:eastAsia="Times New Roman" w:hAnsiTheme="minorHAnsi" w:cstheme="minorHAnsi"/>
          <w:color w:val="0B0C0C"/>
          <w:sz w:val="24"/>
          <w:szCs w:val="24"/>
        </w:rPr>
        <w:t>is</w:t>
      </w:r>
      <w:r w:rsidR="00B64BB4">
        <w:rPr>
          <w:rFonts w:asciiTheme="minorHAnsi" w:eastAsia="Times New Roman" w:hAnsiTheme="minorHAnsi" w:cstheme="minorHAnsi"/>
          <w:color w:val="0B0C0C"/>
          <w:sz w:val="24"/>
          <w:szCs w:val="24"/>
        </w:rPr>
        <w:t xml:space="preserve"> at-risk of</w:t>
      </w:r>
      <w:r w:rsidR="00814444">
        <w:rPr>
          <w:rFonts w:asciiTheme="minorHAnsi" w:eastAsia="Times New Roman" w:hAnsiTheme="minorHAnsi" w:cstheme="minorHAnsi"/>
          <w:color w:val="0B0C0C"/>
          <w:sz w:val="24"/>
          <w:szCs w:val="24"/>
        </w:rPr>
        <w:t xml:space="preserve"> being radicalized</w:t>
      </w:r>
      <w:r w:rsidR="00B64BB4">
        <w:rPr>
          <w:rFonts w:asciiTheme="minorHAnsi" w:eastAsia="Times New Roman" w:hAnsiTheme="minorHAnsi" w:cstheme="minorHAnsi"/>
          <w:color w:val="0B0C0C"/>
          <w:sz w:val="24"/>
          <w:szCs w:val="24"/>
        </w:rPr>
        <w:t xml:space="preserve"> include</w:t>
      </w:r>
      <w:r w:rsidR="00412DD2" w:rsidRPr="00851D89">
        <w:rPr>
          <w:rFonts w:asciiTheme="minorHAnsi" w:eastAsia="Times New Roman" w:hAnsiTheme="minorHAnsi" w:cstheme="minorHAnsi"/>
          <w:color w:val="0B0C0C"/>
          <w:sz w:val="24"/>
          <w:szCs w:val="24"/>
        </w:rPr>
        <w:t xml:space="preserve"> “becoming disrespectful”, </w:t>
      </w:r>
      <w:r w:rsidR="00814444">
        <w:rPr>
          <w:rFonts w:asciiTheme="minorHAnsi" w:eastAsia="Times New Roman" w:hAnsiTheme="minorHAnsi" w:cstheme="minorHAnsi"/>
          <w:color w:val="0B0C0C"/>
          <w:sz w:val="24"/>
          <w:szCs w:val="24"/>
        </w:rPr>
        <w:t xml:space="preserve">asking </w:t>
      </w:r>
      <w:r w:rsidR="00412DD2" w:rsidRPr="00851D89">
        <w:rPr>
          <w:rFonts w:asciiTheme="minorHAnsi" w:eastAsia="Times New Roman" w:hAnsiTheme="minorHAnsi" w:cstheme="minorHAnsi"/>
          <w:color w:val="0B0C0C"/>
          <w:sz w:val="24"/>
          <w:szCs w:val="24"/>
        </w:rPr>
        <w:t xml:space="preserve">“inappropriate questions”, “absenteeism”, “becoming detached or withdrawn”, “crying”, </w:t>
      </w:r>
      <w:r w:rsidR="00814444">
        <w:rPr>
          <w:rFonts w:asciiTheme="minorHAnsi" w:eastAsia="Times New Roman" w:hAnsiTheme="minorHAnsi" w:cstheme="minorHAnsi"/>
          <w:color w:val="0B0C0C"/>
          <w:sz w:val="24"/>
          <w:szCs w:val="24"/>
        </w:rPr>
        <w:t xml:space="preserve">being </w:t>
      </w:r>
      <w:r w:rsidR="00412DD2" w:rsidRPr="00851D89">
        <w:rPr>
          <w:rFonts w:asciiTheme="minorHAnsi" w:eastAsia="Times New Roman" w:hAnsiTheme="minorHAnsi" w:cstheme="minorHAnsi"/>
          <w:color w:val="0B0C0C"/>
          <w:sz w:val="24"/>
          <w:szCs w:val="24"/>
        </w:rPr>
        <w:t xml:space="preserve">“quick to anger” and </w:t>
      </w:r>
      <w:r w:rsidR="00814444">
        <w:rPr>
          <w:rFonts w:asciiTheme="minorHAnsi" w:eastAsia="Times New Roman" w:hAnsiTheme="minorHAnsi" w:cstheme="minorHAnsi"/>
          <w:color w:val="0B0C0C"/>
          <w:sz w:val="24"/>
          <w:szCs w:val="24"/>
        </w:rPr>
        <w:t xml:space="preserve">repeating </w:t>
      </w:r>
      <w:r w:rsidR="00412DD2" w:rsidRPr="00851D89">
        <w:rPr>
          <w:rFonts w:asciiTheme="minorHAnsi" w:eastAsia="Times New Roman" w:hAnsiTheme="minorHAnsi" w:cstheme="minorHAnsi"/>
          <w:color w:val="0B0C0C"/>
          <w:sz w:val="24"/>
          <w:szCs w:val="24"/>
        </w:rPr>
        <w:t xml:space="preserve">“scripted speech” – all qualities most </w:t>
      </w:r>
      <w:r w:rsidR="00292808">
        <w:rPr>
          <w:rFonts w:asciiTheme="minorHAnsi" w:eastAsia="Times New Roman" w:hAnsiTheme="minorHAnsi" w:cstheme="minorHAnsi"/>
          <w:color w:val="0B0C0C"/>
          <w:sz w:val="24"/>
          <w:szCs w:val="24"/>
        </w:rPr>
        <w:t xml:space="preserve">of </w:t>
      </w:r>
      <w:r w:rsidR="00412DD2" w:rsidRPr="00851D89">
        <w:rPr>
          <w:rFonts w:asciiTheme="minorHAnsi" w:eastAsia="Times New Roman" w:hAnsiTheme="minorHAnsi" w:cstheme="minorHAnsi"/>
          <w:color w:val="0B0C0C"/>
          <w:sz w:val="24"/>
          <w:szCs w:val="24"/>
        </w:rPr>
        <w:t xml:space="preserve">us </w:t>
      </w:r>
      <w:r w:rsidR="00814444">
        <w:rPr>
          <w:rFonts w:asciiTheme="minorHAnsi" w:eastAsia="Times New Roman" w:hAnsiTheme="minorHAnsi" w:cstheme="minorHAnsi"/>
          <w:color w:val="0B0C0C"/>
          <w:sz w:val="24"/>
          <w:szCs w:val="24"/>
        </w:rPr>
        <w:t xml:space="preserve">would already </w:t>
      </w:r>
      <w:r w:rsidR="00412DD2" w:rsidRPr="00851D89">
        <w:rPr>
          <w:rFonts w:asciiTheme="minorHAnsi" w:eastAsia="Times New Roman" w:hAnsiTheme="minorHAnsi" w:cstheme="minorHAnsi"/>
          <w:color w:val="0B0C0C"/>
          <w:sz w:val="24"/>
          <w:szCs w:val="24"/>
        </w:rPr>
        <w:t xml:space="preserve">associate with the </w:t>
      </w:r>
      <w:r w:rsidR="00292808">
        <w:rPr>
          <w:rFonts w:asciiTheme="minorHAnsi" w:eastAsia="Times New Roman" w:hAnsiTheme="minorHAnsi" w:cstheme="minorHAnsi"/>
          <w:color w:val="0B0C0C"/>
          <w:sz w:val="24"/>
          <w:szCs w:val="24"/>
        </w:rPr>
        <w:t>everyday</w:t>
      </w:r>
      <w:r w:rsidR="00412DD2" w:rsidRPr="00851D89">
        <w:rPr>
          <w:rFonts w:asciiTheme="minorHAnsi" w:eastAsia="Times New Roman" w:hAnsiTheme="minorHAnsi" w:cstheme="minorHAnsi"/>
          <w:color w:val="0B0C0C"/>
          <w:sz w:val="24"/>
          <w:szCs w:val="24"/>
        </w:rPr>
        <w:t xml:space="preserve"> travails of </w:t>
      </w:r>
      <w:r w:rsidR="00851D89" w:rsidRPr="00851D89">
        <w:rPr>
          <w:rFonts w:asciiTheme="minorHAnsi" w:eastAsia="Times New Roman" w:hAnsiTheme="minorHAnsi" w:cstheme="minorHAnsi"/>
          <w:color w:val="0B0C0C"/>
          <w:sz w:val="24"/>
          <w:szCs w:val="24"/>
        </w:rPr>
        <w:t xml:space="preserve">an </w:t>
      </w:r>
      <w:r w:rsidR="00412DD2" w:rsidRPr="00851D89">
        <w:rPr>
          <w:rFonts w:asciiTheme="minorHAnsi" w:eastAsia="Times New Roman" w:hAnsiTheme="minorHAnsi" w:cstheme="minorHAnsi"/>
          <w:color w:val="0B0C0C"/>
          <w:sz w:val="24"/>
          <w:szCs w:val="24"/>
        </w:rPr>
        <w:t xml:space="preserve">ordinary </w:t>
      </w:r>
      <w:r w:rsidR="00851D89" w:rsidRPr="00851D89">
        <w:rPr>
          <w:rFonts w:asciiTheme="minorHAnsi" w:eastAsia="Times New Roman" w:hAnsiTheme="minorHAnsi" w:cstheme="minorHAnsi"/>
          <w:color w:val="0B0C0C"/>
          <w:sz w:val="24"/>
          <w:szCs w:val="24"/>
        </w:rPr>
        <w:t xml:space="preserve">childhood and </w:t>
      </w:r>
      <w:r w:rsidR="00412DD2" w:rsidRPr="00851D89">
        <w:rPr>
          <w:rFonts w:asciiTheme="minorHAnsi" w:eastAsia="Times New Roman" w:hAnsiTheme="minorHAnsi" w:cstheme="minorHAnsi"/>
          <w:color w:val="0B0C0C"/>
          <w:sz w:val="24"/>
          <w:szCs w:val="24"/>
        </w:rPr>
        <w:t>adolescence.</w:t>
      </w:r>
      <w:r w:rsidR="00412DD2" w:rsidRPr="00851D89">
        <w:rPr>
          <w:rStyle w:val="FootnoteReference"/>
          <w:rFonts w:asciiTheme="minorHAnsi" w:eastAsia="Times New Roman" w:hAnsiTheme="minorHAnsi" w:cstheme="minorHAnsi"/>
          <w:color w:val="0B0C0C"/>
          <w:sz w:val="24"/>
          <w:szCs w:val="24"/>
        </w:rPr>
        <w:footnoteReference w:id="46"/>
      </w:r>
      <w:r w:rsidR="00412DD2" w:rsidRPr="00851D89">
        <w:rPr>
          <w:rFonts w:asciiTheme="minorHAnsi" w:eastAsia="Times New Roman" w:hAnsiTheme="minorHAnsi" w:cstheme="minorHAnsi"/>
          <w:color w:val="0B0C0C"/>
          <w:sz w:val="24"/>
          <w:szCs w:val="24"/>
        </w:rPr>
        <w:t xml:space="preserve">  </w:t>
      </w:r>
      <w:r w:rsidR="00851D89">
        <w:rPr>
          <w:rFonts w:asciiTheme="minorHAnsi" w:eastAsia="Times New Roman" w:hAnsiTheme="minorHAnsi" w:cstheme="minorHAnsi"/>
          <w:color w:val="0B0C0C"/>
          <w:sz w:val="24"/>
          <w:szCs w:val="24"/>
        </w:rPr>
        <w:t>The</w:t>
      </w:r>
      <w:r w:rsidR="00B64BB4">
        <w:rPr>
          <w:rFonts w:asciiTheme="minorHAnsi" w:eastAsia="Times New Roman" w:hAnsiTheme="minorHAnsi" w:cstheme="minorHAnsi"/>
          <w:color w:val="0B0C0C"/>
          <w:sz w:val="24"/>
          <w:szCs w:val="24"/>
        </w:rPr>
        <w:t>se</w:t>
      </w:r>
      <w:r w:rsidR="00851D89">
        <w:rPr>
          <w:rFonts w:asciiTheme="minorHAnsi" w:eastAsia="Times New Roman" w:hAnsiTheme="minorHAnsi" w:cstheme="minorHAnsi"/>
          <w:color w:val="0B0C0C"/>
          <w:sz w:val="24"/>
          <w:szCs w:val="24"/>
        </w:rPr>
        <w:t xml:space="preserve"> Prevent indicators were derived from the </w:t>
      </w:r>
      <w:r w:rsidR="00851D89">
        <w:rPr>
          <w:rFonts w:asciiTheme="minorHAnsi" w:hAnsiTheme="minorHAnsi" w:cstheme="minorHAnsi"/>
          <w:color w:val="000000" w:themeColor="text1"/>
          <w:sz w:val="24"/>
          <w:szCs w:val="24"/>
        </w:rPr>
        <w:t>Extremist Risk Guidance</w:t>
      </w:r>
      <w:r w:rsidR="00851D89" w:rsidRPr="00050E70">
        <w:rPr>
          <w:rFonts w:asciiTheme="minorHAnsi" w:hAnsiTheme="minorHAnsi" w:cstheme="minorHAnsi"/>
          <w:color w:val="000000" w:themeColor="text1"/>
          <w:sz w:val="24"/>
          <w:szCs w:val="24"/>
        </w:rPr>
        <w:t xml:space="preserve"> developed by</w:t>
      </w:r>
      <w:r w:rsidR="000C7D3A">
        <w:rPr>
          <w:rFonts w:asciiTheme="minorHAnsi" w:hAnsiTheme="minorHAnsi" w:cstheme="minorHAnsi"/>
          <w:color w:val="000000" w:themeColor="text1"/>
          <w:sz w:val="24"/>
          <w:szCs w:val="24"/>
        </w:rPr>
        <w:t xml:space="preserve"> </w:t>
      </w:r>
      <w:r w:rsidR="00851D89" w:rsidRPr="00DD517C">
        <w:rPr>
          <w:rFonts w:asciiTheme="minorHAnsi" w:eastAsia="Times New Roman" w:hAnsiTheme="minorHAnsi" w:cstheme="minorHAnsi"/>
          <w:color w:val="0B0C0C"/>
          <w:sz w:val="24"/>
          <w:szCs w:val="24"/>
        </w:rPr>
        <w:t>Lloyd and Dean</w:t>
      </w:r>
      <w:r w:rsidR="00851D89">
        <w:rPr>
          <w:rFonts w:asciiTheme="minorHAnsi" w:hAnsiTheme="minorHAnsi" w:cstheme="minorHAnsi"/>
          <w:color w:val="000000" w:themeColor="text1"/>
          <w:sz w:val="24"/>
          <w:szCs w:val="24"/>
        </w:rPr>
        <w:t xml:space="preserve">, but ERG22+ was a sophisticated tool designed to be applied by specialists working with convicted </w:t>
      </w:r>
      <w:r w:rsidR="00B64BB4">
        <w:rPr>
          <w:rFonts w:asciiTheme="minorHAnsi" w:hAnsiTheme="minorHAnsi" w:cstheme="minorHAnsi"/>
          <w:color w:val="000000" w:themeColor="text1"/>
          <w:sz w:val="24"/>
          <w:szCs w:val="24"/>
        </w:rPr>
        <w:t xml:space="preserve">adult </w:t>
      </w:r>
      <w:r w:rsidR="00851D89">
        <w:rPr>
          <w:rFonts w:asciiTheme="minorHAnsi" w:hAnsiTheme="minorHAnsi" w:cstheme="minorHAnsi"/>
          <w:color w:val="000000" w:themeColor="text1"/>
          <w:sz w:val="24"/>
          <w:szCs w:val="24"/>
        </w:rPr>
        <w:t xml:space="preserve">criminals – not by teachers </w:t>
      </w:r>
      <w:r w:rsidR="00851D89">
        <w:rPr>
          <w:rFonts w:asciiTheme="minorHAnsi" w:hAnsiTheme="minorHAnsi" w:cstheme="minorHAnsi"/>
          <w:color w:val="000000" w:themeColor="text1"/>
          <w:sz w:val="24"/>
          <w:szCs w:val="24"/>
        </w:rPr>
        <w:lastRenderedPageBreak/>
        <w:t>workin</w:t>
      </w:r>
      <w:r w:rsidR="00B64BB4">
        <w:rPr>
          <w:rFonts w:asciiTheme="minorHAnsi" w:hAnsiTheme="minorHAnsi" w:cstheme="minorHAnsi"/>
          <w:color w:val="000000" w:themeColor="text1"/>
          <w:sz w:val="24"/>
          <w:szCs w:val="24"/>
        </w:rPr>
        <w:t xml:space="preserve">g </w:t>
      </w:r>
      <w:r w:rsidR="001C3F61">
        <w:rPr>
          <w:rFonts w:asciiTheme="minorHAnsi" w:hAnsiTheme="minorHAnsi" w:cstheme="minorHAnsi"/>
          <w:color w:val="000000" w:themeColor="text1"/>
          <w:sz w:val="24"/>
          <w:szCs w:val="24"/>
        </w:rPr>
        <w:t xml:space="preserve">with </w:t>
      </w:r>
      <w:r w:rsidR="00851D89">
        <w:rPr>
          <w:rFonts w:asciiTheme="minorHAnsi" w:hAnsiTheme="minorHAnsi" w:cstheme="minorHAnsi"/>
          <w:color w:val="000000" w:themeColor="text1"/>
          <w:sz w:val="24"/>
          <w:szCs w:val="24"/>
        </w:rPr>
        <w:t>small children</w:t>
      </w:r>
      <w:r w:rsidR="00B64BB4">
        <w:rPr>
          <w:rFonts w:asciiTheme="minorHAnsi" w:hAnsiTheme="minorHAnsi" w:cstheme="minorHAnsi"/>
          <w:color w:val="000000" w:themeColor="text1"/>
          <w:sz w:val="24"/>
          <w:szCs w:val="24"/>
        </w:rPr>
        <w:t>.</w:t>
      </w:r>
      <w:r w:rsidR="00851D89">
        <w:rPr>
          <w:rFonts w:asciiTheme="minorHAnsi" w:hAnsiTheme="minorHAnsi" w:cstheme="minorHAnsi"/>
          <w:color w:val="000000" w:themeColor="text1"/>
          <w:sz w:val="24"/>
          <w:szCs w:val="24"/>
        </w:rPr>
        <w:t xml:space="preserve"> </w:t>
      </w:r>
      <w:r w:rsidR="00B64BB4">
        <w:rPr>
          <w:rFonts w:asciiTheme="minorHAnsi" w:hAnsiTheme="minorHAnsi" w:cstheme="minorHAnsi"/>
          <w:color w:val="000000" w:themeColor="text1"/>
          <w:sz w:val="24"/>
          <w:szCs w:val="24"/>
        </w:rPr>
        <w:t xml:space="preserve">The </w:t>
      </w:r>
      <w:r w:rsidR="00453D4F">
        <w:rPr>
          <w:rFonts w:asciiTheme="minorHAnsi" w:hAnsiTheme="minorHAnsi" w:cstheme="minorHAnsi"/>
          <w:color w:val="000000" w:themeColor="text1"/>
          <w:sz w:val="24"/>
          <w:szCs w:val="24"/>
        </w:rPr>
        <w:t xml:space="preserve">former </w:t>
      </w:r>
      <w:r w:rsidR="00851D89" w:rsidRPr="00851D89">
        <w:rPr>
          <w:rFonts w:asciiTheme="minorHAnsi" w:eastAsia="Times New Roman" w:hAnsiTheme="minorHAnsi" w:cstheme="minorHAnsi"/>
          <w:color w:val="0B0C0C"/>
          <w:sz w:val="24"/>
          <w:szCs w:val="24"/>
        </w:rPr>
        <w:t xml:space="preserve">UN Special Rapporteur </w:t>
      </w:r>
      <w:r w:rsidR="00B64BB4">
        <w:rPr>
          <w:rFonts w:asciiTheme="minorHAnsi" w:eastAsia="Times New Roman" w:hAnsiTheme="minorHAnsi" w:cstheme="minorHAnsi"/>
          <w:color w:val="0B0C0C"/>
          <w:sz w:val="24"/>
          <w:szCs w:val="24"/>
        </w:rPr>
        <w:t xml:space="preserve">on Counterterrorism and Human Rights, </w:t>
      </w:r>
      <w:r w:rsidR="00851D89" w:rsidRPr="00851D89">
        <w:rPr>
          <w:rFonts w:asciiTheme="minorHAnsi" w:eastAsia="Times New Roman" w:hAnsiTheme="minorHAnsi" w:cstheme="minorHAnsi"/>
          <w:color w:val="0B0C0C"/>
          <w:sz w:val="24"/>
          <w:szCs w:val="24"/>
        </w:rPr>
        <w:t>Ben Emmerson</w:t>
      </w:r>
      <w:r w:rsidR="00B64BB4">
        <w:rPr>
          <w:rFonts w:asciiTheme="minorHAnsi" w:eastAsia="Times New Roman" w:hAnsiTheme="minorHAnsi" w:cstheme="minorHAnsi"/>
          <w:color w:val="0B0C0C"/>
          <w:sz w:val="24"/>
          <w:szCs w:val="24"/>
        </w:rPr>
        <w:t>,</w:t>
      </w:r>
      <w:r w:rsidR="00851D89" w:rsidRPr="00851D89">
        <w:rPr>
          <w:rFonts w:asciiTheme="minorHAnsi" w:eastAsia="Times New Roman" w:hAnsiTheme="minorHAnsi" w:cstheme="minorHAnsi"/>
          <w:color w:val="0B0C0C"/>
          <w:sz w:val="24"/>
          <w:szCs w:val="24"/>
        </w:rPr>
        <w:t xml:space="preserve"> warned </w:t>
      </w:r>
      <w:r w:rsidR="00031E5E">
        <w:rPr>
          <w:rFonts w:asciiTheme="minorHAnsi" w:eastAsia="Times New Roman" w:hAnsiTheme="minorHAnsi" w:cstheme="minorHAnsi"/>
          <w:color w:val="0B0C0C"/>
          <w:sz w:val="24"/>
          <w:szCs w:val="24"/>
        </w:rPr>
        <w:t xml:space="preserve">the United Kingdom </w:t>
      </w:r>
      <w:r w:rsidR="00292808">
        <w:rPr>
          <w:rFonts w:asciiTheme="minorHAnsi" w:eastAsia="Times New Roman" w:hAnsiTheme="minorHAnsi" w:cstheme="minorHAnsi"/>
          <w:color w:val="0B0C0C"/>
          <w:sz w:val="24"/>
          <w:szCs w:val="24"/>
        </w:rPr>
        <w:t xml:space="preserve">that the introduction of the Prevent Duty would inevitably result in an increase of referrals in part driven by a lack of expert knowledge and </w:t>
      </w:r>
      <w:r w:rsidR="001C732F">
        <w:rPr>
          <w:rFonts w:asciiTheme="minorHAnsi" w:eastAsia="Times New Roman" w:hAnsiTheme="minorHAnsi" w:cstheme="minorHAnsi"/>
          <w:color w:val="0B0C0C"/>
          <w:sz w:val="24"/>
          <w:szCs w:val="24"/>
        </w:rPr>
        <w:t xml:space="preserve">a reluctance to take responsibility </w:t>
      </w:r>
      <w:r w:rsidR="00031E5E">
        <w:rPr>
          <w:rFonts w:asciiTheme="minorHAnsi" w:eastAsia="Times New Roman" w:hAnsiTheme="minorHAnsi" w:cstheme="minorHAnsi"/>
          <w:color w:val="0B0C0C"/>
          <w:sz w:val="24"/>
          <w:szCs w:val="24"/>
        </w:rPr>
        <w:t xml:space="preserve">for </w:t>
      </w:r>
      <w:r w:rsidR="001C732F">
        <w:rPr>
          <w:rFonts w:asciiTheme="minorHAnsi" w:eastAsia="Times New Roman" w:hAnsiTheme="minorHAnsi" w:cstheme="minorHAnsi"/>
          <w:color w:val="0B0C0C"/>
          <w:sz w:val="24"/>
          <w:szCs w:val="24"/>
        </w:rPr>
        <w:t>difficult decisions</w:t>
      </w:r>
      <w:r w:rsidR="00292808">
        <w:rPr>
          <w:rFonts w:asciiTheme="minorHAnsi" w:eastAsia="Times New Roman" w:hAnsiTheme="minorHAnsi" w:cstheme="minorHAnsi"/>
          <w:color w:val="0B0C0C"/>
          <w:sz w:val="24"/>
          <w:szCs w:val="24"/>
        </w:rPr>
        <w:t xml:space="preserve">: </w:t>
      </w:r>
      <w:r w:rsidR="00851D89" w:rsidRPr="00851D89">
        <w:rPr>
          <w:rFonts w:asciiTheme="minorHAnsi" w:eastAsia="Times New Roman" w:hAnsiTheme="minorHAnsi" w:cstheme="minorHAnsi"/>
          <w:color w:val="0B0C0C"/>
          <w:sz w:val="24"/>
          <w:szCs w:val="24"/>
        </w:rPr>
        <w:t>“</w:t>
      </w:r>
      <w:r w:rsidR="00292808">
        <w:rPr>
          <w:rFonts w:asciiTheme="minorHAnsi" w:eastAsia="Times New Roman" w:hAnsiTheme="minorHAnsi" w:cstheme="minorHAnsi"/>
          <w:color w:val="0B0C0C"/>
          <w:sz w:val="24"/>
          <w:szCs w:val="24"/>
        </w:rPr>
        <w:t>T</w:t>
      </w:r>
      <w:r w:rsidR="00851D89" w:rsidRPr="00851D89">
        <w:rPr>
          <w:rFonts w:asciiTheme="minorHAnsi" w:eastAsia="Times New Roman" w:hAnsiTheme="minorHAnsi" w:cstheme="minorHAnsi"/>
          <w:color w:val="0B0C0C"/>
          <w:sz w:val="24"/>
          <w:szCs w:val="24"/>
        </w:rPr>
        <w:t>he lack of certainty about what elements to take into consideration may also lead educators to be overly cautious and needless</w:t>
      </w:r>
      <w:r w:rsidR="00292808">
        <w:rPr>
          <w:rFonts w:asciiTheme="minorHAnsi" w:eastAsia="Times New Roman" w:hAnsiTheme="minorHAnsi" w:cstheme="minorHAnsi"/>
          <w:color w:val="0B0C0C"/>
          <w:sz w:val="24"/>
          <w:szCs w:val="24"/>
        </w:rPr>
        <w:t>ly</w:t>
      </w:r>
      <w:r w:rsidR="00851D89" w:rsidRPr="00851D89">
        <w:rPr>
          <w:rFonts w:asciiTheme="minorHAnsi" w:eastAsia="Times New Roman" w:hAnsiTheme="minorHAnsi" w:cstheme="minorHAnsi"/>
          <w:color w:val="0B0C0C"/>
          <w:sz w:val="24"/>
          <w:szCs w:val="24"/>
        </w:rPr>
        <w:t xml:space="preserve"> report through fear of sanctions.”</w:t>
      </w:r>
      <w:r w:rsidR="00851D89" w:rsidRPr="00851D89">
        <w:rPr>
          <w:rStyle w:val="FootnoteReference"/>
          <w:rFonts w:asciiTheme="minorHAnsi" w:eastAsia="Times New Roman" w:hAnsiTheme="minorHAnsi" w:cstheme="minorHAnsi"/>
          <w:color w:val="0B0C0C"/>
          <w:sz w:val="24"/>
          <w:szCs w:val="24"/>
        </w:rPr>
        <w:footnoteReference w:id="47"/>
      </w:r>
      <w:r w:rsidR="00851D89" w:rsidRPr="00851D89">
        <w:rPr>
          <w:rFonts w:asciiTheme="minorHAnsi" w:eastAsia="Times New Roman" w:hAnsiTheme="minorHAnsi" w:cstheme="minorHAnsi"/>
          <w:color w:val="0B0C0C"/>
          <w:sz w:val="24"/>
          <w:szCs w:val="24"/>
        </w:rPr>
        <w:t xml:space="preserve"> </w:t>
      </w:r>
      <w:r w:rsidR="001C3F61">
        <w:rPr>
          <w:rFonts w:asciiTheme="minorHAnsi" w:eastAsia="Times New Roman" w:hAnsiTheme="minorHAnsi" w:cstheme="minorHAnsi"/>
          <w:color w:val="0B0C0C"/>
          <w:sz w:val="24"/>
          <w:szCs w:val="24"/>
        </w:rPr>
        <w:t xml:space="preserve">This indeed seems to have been the case. </w:t>
      </w:r>
      <w:r w:rsidR="00851D89" w:rsidRPr="00851D89">
        <w:rPr>
          <w:rFonts w:asciiTheme="minorHAnsi" w:eastAsia="Times New Roman" w:hAnsiTheme="minorHAnsi" w:cstheme="minorHAnsi"/>
          <w:color w:val="000000" w:themeColor="text1"/>
          <w:sz w:val="24"/>
          <w:szCs w:val="24"/>
        </w:rPr>
        <w:t>Creating a legal duty to intervene inevitably raises institutional concerns about the potential liabilities that may result if the</w:t>
      </w:r>
      <w:r w:rsidR="001C732F">
        <w:rPr>
          <w:rFonts w:asciiTheme="minorHAnsi" w:eastAsia="Times New Roman" w:hAnsiTheme="minorHAnsi" w:cstheme="minorHAnsi"/>
          <w:color w:val="000000" w:themeColor="text1"/>
          <w:sz w:val="24"/>
          <w:szCs w:val="24"/>
        </w:rPr>
        <w:t xml:space="preserve"> institutional </w:t>
      </w:r>
      <w:r w:rsidR="00851D89" w:rsidRPr="00851D89">
        <w:rPr>
          <w:rFonts w:asciiTheme="minorHAnsi" w:eastAsia="Times New Roman" w:hAnsiTheme="minorHAnsi" w:cstheme="minorHAnsi"/>
          <w:color w:val="000000" w:themeColor="text1"/>
          <w:sz w:val="24"/>
          <w:szCs w:val="24"/>
        </w:rPr>
        <w:t>fail</w:t>
      </w:r>
      <w:r w:rsidR="001C732F">
        <w:rPr>
          <w:rFonts w:asciiTheme="minorHAnsi" w:eastAsia="Times New Roman" w:hAnsiTheme="minorHAnsi" w:cstheme="minorHAnsi"/>
          <w:color w:val="000000" w:themeColor="text1"/>
          <w:sz w:val="24"/>
          <w:szCs w:val="24"/>
        </w:rPr>
        <w:t>s</w:t>
      </w:r>
      <w:r w:rsidR="00851D89" w:rsidRPr="00851D89">
        <w:rPr>
          <w:rFonts w:asciiTheme="minorHAnsi" w:eastAsia="Times New Roman" w:hAnsiTheme="minorHAnsi" w:cstheme="minorHAnsi"/>
          <w:color w:val="000000" w:themeColor="text1"/>
          <w:sz w:val="24"/>
          <w:szCs w:val="24"/>
        </w:rPr>
        <w:t xml:space="preserve"> to make</w:t>
      </w:r>
      <w:r w:rsidR="001C732F">
        <w:rPr>
          <w:rFonts w:asciiTheme="minorHAnsi" w:eastAsia="Times New Roman" w:hAnsiTheme="minorHAnsi" w:cstheme="minorHAnsi"/>
          <w:color w:val="000000" w:themeColor="text1"/>
          <w:sz w:val="24"/>
          <w:szCs w:val="24"/>
        </w:rPr>
        <w:t xml:space="preserve"> a necessary</w:t>
      </w:r>
      <w:r w:rsidR="00851D89" w:rsidRPr="00851D89">
        <w:rPr>
          <w:rFonts w:asciiTheme="minorHAnsi" w:eastAsia="Times New Roman" w:hAnsiTheme="minorHAnsi" w:cstheme="minorHAnsi"/>
          <w:color w:val="000000" w:themeColor="text1"/>
          <w:sz w:val="24"/>
          <w:szCs w:val="24"/>
        </w:rPr>
        <w:t xml:space="preserve"> referral, thus creating a further structural bias for action.</w:t>
      </w:r>
      <w:r w:rsidR="001C732F">
        <w:rPr>
          <w:rFonts w:asciiTheme="minorHAnsi" w:eastAsia="Times New Roman" w:hAnsiTheme="minorHAnsi" w:cstheme="minorHAnsi"/>
          <w:color w:val="000000" w:themeColor="text1"/>
          <w:sz w:val="24"/>
          <w:szCs w:val="24"/>
        </w:rPr>
        <w:t xml:space="preserve"> It is always easier to opt for being safe now</w:t>
      </w:r>
      <w:r w:rsidR="00031E5E">
        <w:rPr>
          <w:rFonts w:asciiTheme="minorHAnsi" w:eastAsia="Times New Roman" w:hAnsiTheme="minorHAnsi" w:cstheme="minorHAnsi"/>
          <w:color w:val="000000" w:themeColor="text1"/>
          <w:sz w:val="24"/>
          <w:szCs w:val="24"/>
        </w:rPr>
        <w:t xml:space="preserve"> by referring a potential threat, no matter how remote, to the ‘proper authorities’, </w:t>
      </w:r>
      <w:r w:rsidR="001C732F">
        <w:rPr>
          <w:rFonts w:asciiTheme="minorHAnsi" w:eastAsia="Times New Roman" w:hAnsiTheme="minorHAnsi" w:cstheme="minorHAnsi"/>
          <w:color w:val="000000" w:themeColor="text1"/>
          <w:sz w:val="24"/>
          <w:szCs w:val="24"/>
        </w:rPr>
        <w:t xml:space="preserve">rather than </w:t>
      </w:r>
      <w:r w:rsidR="005A2022">
        <w:rPr>
          <w:rFonts w:asciiTheme="minorHAnsi" w:eastAsia="Times New Roman" w:hAnsiTheme="minorHAnsi" w:cstheme="minorHAnsi"/>
          <w:color w:val="000000" w:themeColor="text1"/>
          <w:sz w:val="24"/>
          <w:szCs w:val="24"/>
        </w:rPr>
        <w:t xml:space="preserve">to </w:t>
      </w:r>
      <w:r w:rsidR="001C732F">
        <w:rPr>
          <w:rFonts w:asciiTheme="minorHAnsi" w:eastAsia="Times New Roman" w:hAnsiTheme="minorHAnsi" w:cstheme="minorHAnsi"/>
          <w:color w:val="000000" w:themeColor="text1"/>
          <w:sz w:val="24"/>
          <w:szCs w:val="24"/>
        </w:rPr>
        <w:t xml:space="preserve">risk being sorry later. </w:t>
      </w:r>
    </w:p>
    <w:p w14:paraId="08E85DD8" w14:textId="77777777" w:rsidR="00101346" w:rsidRPr="00930FD8" w:rsidRDefault="00101346" w:rsidP="00900A87">
      <w:pPr>
        <w:jc w:val="both"/>
        <w:rPr>
          <w:rFonts w:asciiTheme="minorHAnsi" w:hAnsiTheme="minorHAnsi" w:cstheme="minorHAnsi"/>
          <w:color w:val="121212"/>
          <w:shd w:val="clear" w:color="auto" w:fill="FFFFFF"/>
        </w:rPr>
      </w:pPr>
    </w:p>
    <w:p w14:paraId="128B6CA3" w14:textId="3CB72908" w:rsidR="00730D72" w:rsidRDefault="00031E5E" w:rsidP="006D7281">
      <w:pPr>
        <w:jc w:val="both"/>
        <w:rPr>
          <w:rFonts w:asciiTheme="minorHAnsi" w:hAnsiTheme="minorHAnsi" w:cstheme="minorHAnsi"/>
          <w:color w:val="0B0C0C"/>
        </w:rPr>
      </w:pPr>
      <w:r w:rsidRPr="00930FD8">
        <w:rPr>
          <w:rFonts w:asciiTheme="minorHAnsi" w:hAnsiTheme="minorHAnsi" w:cstheme="minorHAnsi"/>
          <w:color w:val="121212"/>
          <w:shd w:val="clear" w:color="auto" w:fill="FFFFFF"/>
        </w:rPr>
        <w:t>This structural</w:t>
      </w:r>
      <w:r w:rsidR="00900A87" w:rsidRPr="00930FD8">
        <w:rPr>
          <w:rFonts w:asciiTheme="minorHAnsi" w:hAnsiTheme="minorHAnsi" w:cstheme="minorHAnsi"/>
          <w:color w:val="121212"/>
          <w:shd w:val="clear" w:color="auto" w:fill="FFFFFF"/>
        </w:rPr>
        <w:t xml:space="preserve"> problem </w:t>
      </w:r>
      <w:r w:rsidRPr="00930FD8">
        <w:rPr>
          <w:rFonts w:asciiTheme="minorHAnsi" w:hAnsiTheme="minorHAnsi" w:cstheme="minorHAnsi"/>
          <w:color w:val="121212"/>
          <w:shd w:val="clear" w:color="auto" w:fill="FFFFFF"/>
        </w:rPr>
        <w:t xml:space="preserve">is further compounded when viewing </w:t>
      </w:r>
      <w:r w:rsidR="00900A87" w:rsidRPr="00930FD8">
        <w:rPr>
          <w:rFonts w:asciiTheme="minorHAnsi" w:hAnsiTheme="minorHAnsi" w:cstheme="minorHAnsi"/>
          <w:color w:val="121212"/>
          <w:shd w:val="clear" w:color="auto" w:fill="FFFFFF"/>
        </w:rPr>
        <w:t xml:space="preserve">radicalization through the lens of vulnerability </w:t>
      </w:r>
      <w:r w:rsidRPr="00930FD8">
        <w:rPr>
          <w:rFonts w:asciiTheme="minorHAnsi" w:hAnsiTheme="minorHAnsi" w:cstheme="minorHAnsi"/>
          <w:color w:val="121212"/>
          <w:shd w:val="clear" w:color="auto" w:fill="FFFFFF"/>
        </w:rPr>
        <w:t>because this</w:t>
      </w:r>
      <w:r w:rsidR="00900A87" w:rsidRPr="00930FD8">
        <w:rPr>
          <w:rFonts w:asciiTheme="minorHAnsi" w:hAnsiTheme="minorHAnsi" w:cstheme="minorHAnsi"/>
          <w:color w:val="121212"/>
          <w:shd w:val="clear" w:color="auto" w:fill="FFFFFF"/>
        </w:rPr>
        <w:t xml:space="preserve"> actually makes it easier to carry out interventions that would not be considered reasonable when viewed purely through a security lens</w:t>
      </w:r>
      <w:r w:rsidRPr="00930FD8">
        <w:rPr>
          <w:rFonts w:asciiTheme="minorHAnsi" w:hAnsiTheme="minorHAnsi" w:cstheme="minorHAnsi"/>
          <w:color w:val="121212"/>
          <w:shd w:val="clear" w:color="auto" w:fill="FFFFFF"/>
        </w:rPr>
        <w:t>.</w:t>
      </w:r>
      <w:r w:rsidR="00900A87" w:rsidRPr="00930FD8">
        <w:rPr>
          <w:rFonts w:asciiTheme="minorHAnsi" w:hAnsiTheme="minorHAnsi" w:cstheme="minorHAnsi"/>
          <w:color w:val="121212"/>
          <w:shd w:val="clear" w:color="auto" w:fill="FFFFFF"/>
        </w:rPr>
        <w:t xml:space="preserve"> </w:t>
      </w:r>
      <w:r w:rsidRPr="00930FD8">
        <w:rPr>
          <w:rFonts w:asciiTheme="minorHAnsi" w:hAnsiTheme="minorHAnsi" w:cstheme="minorHAnsi"/>
          <w:color w:val="121212"/>
          <w:shd w:val="clear" w:color="auto" w:fill="FFFFFF"/>
        </w:rPr>
        <w:t>A</w:t>
      </w:r>
      <w:r w:rsidR="00900A87" w:rsidRPr="00930FD8">
        <w:rPr>
          <w:rFonts w:asciiTheme="minorHAnsi" w:hAnsiTheme="minorHAnsi" w:cstheme="minorHAnsi"/>
          <w:color w:val="121212"/>
          <w:shd w:val="clear" w:color="auto" w:fill="FFFFFF"/>
        </w:rPr>
        <w:t>fter all</w:t>
      </w:r>
      <w:r w:rsidRPr="00930FD8">
        <w:rPr>
          <w:rFonts w:asciiTheme="minorHAnsi" w:hAnsiTheme="minorHAnsi" w:cstheme="minorHAnsi"/>
          <w:color w:val="121212"/>
          <w:shd w:val="clear" w:color="auto" w:fill="FFFFFF"/>
        </w:rPr>
        <w:t>,</w:t>
      </w:r>
      <w:r w:rsidR="00900A87" w:rsidRPr="00930FD8">
        <w:rPr>
          <w:rFonts w:asciiTheme="minorHAnsi" w:hAnsiTheme="minorHAnsi" w:cstheme="minorHAnsi"/>
          <w:color w:val="121212"/>
          <w:shd w:val="clear" w:color="auto" w:fill="FFFFFF"/>
        </w:rPr>
        <w:t xml:space="preserve"> what actual terrorist threat does a ten-year-old boy really pose? Intelligence and security professionals typically assess terrorist threats by considering an individual or a group’s intent and capability to mount an attack. T</w:t>
      </w:r>
      <w:r w:rsidR="008D79B1" w:rsidRPr="00930FD8">
        <w:rPr>
          <w:rFonts w:asciiTheme="minorHAnsi" w:hAnsiTheme="minorHAnsi" w:cstheme="minorHAnsi"/>
          <w:color w:val="121212"/>
          <w:shd w:val="clear" w:color="auto" w:fill="FFFFFF"/>
        </w:rPr>
        <w:t>o the best of my knowledge, in the past 150 years t</w:t>
      </w:r>
      <w:r w:rsidR="00900A87" w:rsidRPr="00930FD8">
        <w:rPr>
          <w:rFonts w:asciiTheme="minorHAnsi" w:hAnsiTheme="minorHAnsi" w:cstheme="minorHAnsi"/>
          <w:color w:val="121212"/>
          <w:shd w:val="clear" w:color="auto" w:fill="FFFFFF"/>
        </w:rPr>
        <w:t xml:space="preserve">here has </w:t>
      </w:r>
      <w:r w:rsidR="008D79B1" w:rsidRPr="00930FD8">
        <w:rPr>
          <w:rFonts w:asciiTheme="minorHAnsi" w:hAnsiTheme="minorHAnsi" w:cstheme="minorHAnsi"/>
          <w:color w:val="121212"/>
          <w:shd w:val="clear" w:color="auto" w:fill="FFFFFF"/>
        </w:rPr>
        <w:t xml:space="preserve">not </w:t>
      </w:r>
      <w:r w:rsidR="00900A87" w:rsidRPr="00930FD8">
        <w:rPr>
          <w:rFonts w:asciiTheme="minorHAnsi" w:hAnsiTheme="minorHAnsi" w:cstheme="minorHAnsi"/>
          <w:color w:val="121212"/>
          <w:shd w:val="clear" w:color="auto" w:fill="FFFFFF"/>
        </w:rPr>
        <w:t xml:space="preserve">been a </w:t>
      </w:r>
      <w:r w:rsidR="008D79B1" w:rsidRPr="00930FD8">
        <w:rPr>
          <w:rFonts w:asciiTheme="minorHAnsi" w:hAnsiTheme="minorHAnsi" w:cstheme="minorHAnsi"/>
          <w:color w:val="121212"/>
          <w:shd w:val="clear" w:color="auto" w:fill="FFFFFF"/>
        </w:rPr>
        <w:t xml:space="preserve">single </w:t>
      </w:r>
      <w:r w:rsidR="00900A87" w:rsidRPr="00930FD8">
        <w:rPr>
          <w:rFonts w:asciiTheme="minorHAnsi" w:hAnsiTheme="minorHAnsi" w:cstheme="minorHAnsi"/>
          <w:color w:val="121212"/>
          <w:shd w:val="clear" w:color="auto" w:fill="FFFFFF"/>
        </w:rPr>
        <w:t>terrorist incident in the United Kingdom involving a child aged ten or under as a witting actor in the plot</w:t>
      </w:r>
      <w:r w:rsidR="008D79B1" w:rsidRPr="00930FD8">
        <w:rPr>
          <w:rFonts w:asciiTheme="minorHAnsi" w:hAnsiTheme="minorHAnsi" w:cstheme="minorHAnsi"/>
          <w:color w:val="121212"/>
          <w:shd w:val="clear" w:color="auto" w:fill="FFFFFF"/>
        </w:rPr>
        <w:t>. This</w:t>
      </w:r>
      <w:r w:rsidR="00900A87" w:rsidRPr="00930FD8">
        <w:rPr>
          <w:rFonts w:asciiTheme="minorHAnsi" w:hAnsiTheme="minorHAnsi" w:cstheme="minorHAnsi"/>
          <w:color w:val="121212"/>
          <w:shd w:val="clear" w:color="auto" w:fill="FFFFFF"/>
        </w:rPr>
        <w:t xml:space="preserve"> begs the question, why would anyone in a position of authority feel it was anyone’s interests to refer 415 cases involving children under the age of ten to the Channel </w:t>
      </w:r>
      <w:proofErr w:type="spellStart"/>
      <w:r w:rsidR="00900A87" w:rsidRPr="00930FD8">
        <w:rPr>
          <w:rFonts w:asciiTheme="minorHAnsi" w:hAnsiTheme="minorHAnsi" w:cstheme="minorHAnsi"/>
          <w:color w:val="121212"/>
          <w:shd w:val="clear" w:color="auto" w:fill="FFFFFF"/>
        </w:rPr>
        <w:t>programme</w:t>
      </w:r>
      <w:proofErr w:type="spellEnd"/>
      <w:r w:rsidR="00900A87" w:rsidRPr="00930FD8">
        <w:rPr>
          <w:rFonts w:asciiTheme="minorHAnsi" w:hAnsiTheme="minorHAnsi" w:cstheme="minorHAnsi"/>
          <w:color w:val="121212"/>
          <w:shd w:val="clear" w:color="auto" w:fill="FFFFFF"/>
        </w:rPr>
        <w:t xml:space="preserve"> in little over three and half years? The framing of vulnerability casts the state, and its proxies, in the role of protector, as acting in the child’s best interests, but it doesn’t take much imagination to consider just how traumatizing a Channel referral must be for young child – and the child’s family. </w:t>
      </w:r>
      <w:proofErr w:type="spellStart"/>
      <w:r w:rsidR="00900A87" w:rsidRPr="00930FD8">
        <w:rPr>
          <w:rFonts w:asciiTheme="minorHAnsi" w:hAnsiTheme="minorHAnsi" w:cstheme="minorHAnsi"/>
          <w:color w:val="121212"/>
        </w:rPr>
        <w:t>Attiq</w:t>
      </w:r>
      <w:proofErr w:type="spellEnd"/>
      <w:r w:rsidR="00900A87" w:rsidRPr="00930FD8">
        <w:rPr>
          <w:rFonts w:asciiTheme="minorHAnsi" w:hAnsiTheme="minorHAnsi" w:cstheme="minorHAnsi"/>
          <w:color w:val="121212"/>
        </w:rPr>
        <w:t xml:space="preserve"> Malik of Liberty Law Solicitors, who represented the boy who was reported for wanting to give alms to the oppressed, has called for the Prevent </w:t>
      </w:r>
      <w:proofErr w:type="spellStart"/>
      <w:r w:rsidR="00900A87" w:rsidRPr="00930FD8">
        <w:rPr>
          <w:rFonts w:asciiTheme="minorHAnsi" w:hAnsiTheme="minorHAnsi" w:cstheme="minorHAnsi"/>
          <w:color w:val="121212"/>
        </w:rPr>
        <w:t>programme</w:t>
      </w:r>
      <w:proofErr w:type="spellEnd"/>
      <w:r w:rsidR="00900A87" w:rsidRPr="00930FD8">
        <w:rPr>
          <w:rFonts w:asciiTheme="minorHAnsi" w:hAnsiTheme="minorHAnsi" w:cstheme="minorHAnsi"/>
          <w:color w:val="121212"/>
        </w:rPr>
        <w:t xml:space="preserve"> to be scrapped, observing, “there is no need for a policy which is the equivalent of using a sledgehammer to crack a nut.”</w:t>
      </w:r>
      <w:r w:rsidR="00900A87" w:rsidRPr="00930FD8">
        <w:rPr>
          <w:rStyle w:val="FootnoteReference"/>
          <w:rFonts w:asciiTheme="minorHAnsi" w:hAnsiTheme="minorHAnsi" w:cstheme="minorHAnsi"/>
          <w:color w:val="121212"/>
        </w:rPr>
        <w:footnoteReference w:id="48"/>
      </w:r>
      <w:r w:rsidR="00900A87" w:rsidRPr="00930FD8">
        <w:rPr>
          <w:rFonts w:asciiTheme="minorHAnsi" w:hAnsiTheme="minorHAnsi" w:cstheme="minorHAnsi"/>
          <w:color w:val="121212"/>
          <w:shd w:val="clear" w:color="auto" w:fill="FFFFFF"/>
        </w:rPr>
        <w:t xml:space="preserve"> It is hard to escape the conclusion that the vulnerability narrative has become a cover for what is still in essence a coercive counter-terrorism policy, simply carried out by other means. </w:t>
      </w:r>
      <w:r w:rsidR="00B01F3F">
        <w:rPr>
          <w:rFonts w:asciiTheme="minorHAnsi" w:hAnsiTheme="minorHAnsi" w:cstheme="minorHAnsi"/>
          <w:color w:val="121212"/>
          <w:shd w:val="clear" w:color="auto" w:fill="FFFFFF"/>
        </w:rPr>
        <w:t>Education</w:t>
      </w:r>
      <w:r w:rsidR="00F008B6">
        <w:rPr>
          <w:rFonts w:asciiTheme="minorHAnsi" w:hAnsiTheme="minorHAnsi" w:cstheme="minorHAnsi"/>
          <w:color w:val="121212"/>
          <w:shd w:val="clear" w:color="auto" w:fill="FFFFFF"/>
        </w:rPr>
        <w:t xml:space="preserve">al researchers </w:t>
      </w:r>
      <w:r w:rsidR="00900A87" w:rsidRPr="00930FD8">
        <w:rPr>
          <w:rFonts w:asciiTheme="minorHAnsi" w:hAnsiTheme="minorHAnsi" w:cstheme="minorHAnsi"/>
        </w:rPr>
        <w:t xml:space="preserve">Stijn </w:t>
      </w:r>
      <w:proofErr w:type="spellStart"/>
      <w:r w:rsidR="00B01F3F">
        <w:rPr>
          <w:rFonts w:asciiTheme="minorHAnsi" w:hAnsiTheme="minorHAnsi" w:cstheme="minorHAnsi"/>
        </w:rPr>
        <w:t>Sieckelinck</w:t>
      </w:r>
      <w:proofErr w:type="spellEnd"/>
      <w:r w:rsidR="00900A87" w:rsidRPr="00930FD8">
        <w:rPr>
          <w:rFonts w:asciiTheme="minorHAnsi" w:hAnsiTheme="minorHAnsi" w:cstheme="minorHAnsi"/>
        </w:rPr>
        <w:t xml:space="preserve">, </w:t>
      </w:r>
      <w:proofErr w:type="spellStart"/>
      <w:r w:rsidR="00900A87" w:rsidRPr="00930FD8">
        <w:rPr>
          <w:rFonts w:asciiTheme="minorHAnsi" w:hAnsiTheme="minorHAnsi" w:cstheme="minorHAnsi"/>
        </w:rPr>
        <w:t>Femke</w:t>
      </w:r>
      <w:proofErr w:type="spellEnd"/>
      <w:r w:rsidR="00900A87" w:rsidRPr="00930FD8">
        <w:rPr>
          <w:rFonts w:asciiTheme="minorHAnsi" w:hAnsiTheme="minorHAnsi" w:cstheme="minorHAnsi"/>
        </w:rPr>
        <w:t xml:space="preserve"> </w:t>
      </w:r>
      <w:proofErr w:type="spellStart"/>
      <w:r w:rsidR="00900A87" w:rsidRPr="00930FD8">
        <w:rPr>
          <w:rFonts w:asciiTheme="minorHAnsi" w:hAnsiTheme="minorHAnsi" w:cstheme="minorHAnsi"/>
        </w:rPr>
        <w:t>Kaulingfreks</w:t>
      </w:r>
      <w:proofErr w:type="spellEnd"/>
      <w:r w:rsidR="00900A87" w:rsidRPr="00930FD8">
        <w:rPr>
          <w:rFonts w:asciiTheme="minorHAnsi" w:hAnsiTheme="minorHAnsi" w:cstheme="minorHAnsi"/>
        </w:rPr>
        <w:t xml:space="preserve"> and Micha de Winter</w:t>
      </w:r>
      <w:r w:rsidR="00CC714C">
        <w:rPr>
          <w:rFonts w:asciiTheme="minorHAnsi" w:hAnsiTheme="minorHAnsi" w:cstheme="minorHAnsi"/>
        </w:rPr>
        <w:t>,</w:t>
      </w:r>
      <w:r w:rsidR="00900A87" w:rsidRPr="00930FD8">
        <w:rPr>
          <w:rFonts w:asciiTheme="minorHAnsi" w:hAnsiTheme="minorHAnsi" w:cstheme="minorHAnsi"/>
        </w:rPr>
        <w:t xml:space="preserve"> </w:t>
      </w:r>
      <w:r w:rsidR="00F008B6">
        <w:rPr>
          <w:rFonts w:asciiTheme="minorHAnsi" w:hAnsiTheme="minorHAnsi" w:cstheme="minorHAnsi"/>
        </w:rPr>
        <w:t xml:space="preserve">who </w:t>
      </w:r>
      <w:r w:rsidR="00CC714C">
        <w:rPr>
          <w:rFonts w:asciiTheme="minorHAnsi" w:hAnsiTheme="minorHAnsi" w:cstheme="minorHAnsi"/>
        </w:rPr>
        <w:t>have investigated</w:t>
      </w:r>
      <w:r w:rsidR="00F008B6">
        <w:rPr>
          <w:rFonts w:asciiTheme="minorHAnsi" w:hAnsiTheme="minorHAnsi" w:cstheme="minorHAnsi"/>
        </w:rPr>
        <w:t xml:space="preserve"> ‘routes to </w:t>
      </w:r>
      <w:proofErr w:type="spellStart"/>
      <w:r w:rsidR="00F008B6">
        <w:rPr>
          <w:rFonts w:asciiTheme="minorHAnsi" w:hAnsiTheme="minorHAnsi" w:cstheme="minorHAnsi"/>
        </w:rPr>
        <w:t>radicalisation</w:t>
      </w:r>
      <w:proofErr w:type="spellEnd"/>
      <w:r w:rsidR="00F008B6">
        <w:rPr>
          <w:rFonts w:asciiTheme="minorHAnsi" w:hAnsiTheme="minorHAnsi" w:cstheme="minorHAnsi"/>
        </w:rPr>
        <w:t>’ in Flanders</w:t>
      </w:r>
      <w:r w:rsidR="00F008B6" w:rsidRPr="00F008B6">
        <w:rPr>
          <w:rFonts w:asciiTheme="minorHAnsi" w:hAnsiTheme="minorHAnsi" w:cstheme="minorHAnsi"/>
        </w:rPr>
        <w:t xml:space="preserve"> </w:t>
      </w:r>
      <w:r w:rsidR="00F008B6">
        <w:rPr>
          <w:rFonts w:asciiTheme="minorHAnsi" w:hAnsiTheme="minorHAnsi" w:cstheme="minorHAnsi"/>
        </w:rPr>
        <w:t xml:space="preserve">and the Netherlands, </w:t>
      </w:r>
      <w:r w:rsidR="00900A87" w:rsidRPr="00930FD8">
        <w:rPr>
          <w:rFonts w:asciiTheme="minorHAnsi" w:hAnsiTheme="minorHAnsi" w:cstheme="minorHAnsi"/>
        </w:rPr>
        <w:t>argue that</w:t>
      </w:r>
      <w:r w:rsidR="00900A87" w:rsidRPr="00930FD8">
        <w:rPr>
          <w:rFonts w:asciiTheme="minorHAnsi" w:hAnsiTheme="minorHAnsi" w:cstheme="minorHAnsi"/>
          <w:color w:val="0B0C0C"/>
        </w:rPr>
        <w:t xml:space="preserve"> </w:t>
      </w:r>
      <w:r w:rsidR="002454D4" w:rsidRPr="00930FD8">
        <w:rPr>
          <w:rFonts w:asciiTheme="minorHAnsi" w:hAnsiTheme="minorHAnsi" w:cstheme="minorHAnsi"/>
          <w:color w:val="0B0C0C"/>
        </w:rPr>
        <w:t xml:space="preserve">when young students engage in hate speech or similarly confrontational behavior </w:t>
      </w:r>
      <w:r w:rsidR="00900A87" w:rsidRPr="00930FD8">
        <w:rPr>
          <w:rFonts w:asciiTheme="minorHAnsi" w:hAnsiTheme="minorHAnsi" w:cstheme="minorHAnsi"/>
          <w:color w:val="0B0C0C"/>
        </w:rPr>
        <w:t xml:space="preserve">they are </w:t>
      </w:r>
      <w:r w:rsidR="002454D4" w:rsidRPr="00930FD8">
        <w:rPr>
          <w:rFonts w:asciiTheme="minorHAnsi" w:hAnsiTheme="minorHAnsi" w:cstheme="minorHAnsi"/>
          <w:color w:val="0B0C0C"/>
        </w:rPr>
        <w:t>most effectively engaged</w:t>
      </w:r>
      <w:r w:rsidR="00900A87" w:rsidRPr="00930FD8">
        <w:rPr>
          <w:rFonts w:asciiTheme="minorHAnsi" w:hAnsiTheme="minorHAnsi" w:cstheme="minorHAnsi"/>
          <w:color w:val="0B0C0C"/>
        </w:rPr>
        <w:t xml:space="preserve"> </w:t>
      </w:r>
      <w:r w:rsidR="002454D4" w:rsidRPr="00930FD8">
        <w:rPr>
          <w:rFonts w:asciiTheme="minorHAnsi" w:hAnsiTheme="minorHAnsi" w:cstheme="minorHAnsi"/>
          <w:color w:val="0B0C0C"/>
        </w:rPr>
        <w:t>“</w:t>
      </w:r>
      <w:r w:rsidR="00900A87" w:rsidRPr="00930FD8">
        <w:rPr>
          <w:rFonts w:asciiTheme="minorHAnsi" w:hAnsiTheme="minorHAnsi" w:cstheme="minorHAnsi"/>
          <w:color w:val="0B0C0C"/>
        </w:rPr>
        <w:t>not as villains or victims, but as political agents in spiritual and educational need</w:t>
      </w:r>
      <w:r w:rsidR="00BB22E9">
        <w:rPr>
          <w:rFonts w:asciiTheme="minorHAnsi" w:hAnsiTheme="minorHAnsi" w:cstheme="minorHAnsi"/>
          <w:color w:val="0B0C0C"/>
        </w:rPr>
        <w:t>.”</w:t>
      </w:r>
      <w:r w:rsidR="00BB22E9" w:rsidRPr="00875526">
        <w:rPr>
          <w:rStyle w:val="FootnoteReference"/>
          <w:rFonts w:asciiTheme="minorHAnsi" w:hAnsiTheme="minorHAnsi" w:cstheme="minorHAnsi"/>
          <w:color w:val="0B0C0C"/>
        </w:rPr>
        <w:footnoteReference w:id="49"/>
      </w:r>
      <w:r w:rsidR="00BB22E9">
        <w:rPr>
          <w:rFonts w:asciiTheme="minorHAnsi" w:hAnsiTheme="minorHAnsi" w:cstheme="minorHAnsi"/>
          <w:color w:val="0B0C0C"/>
        </w:rPr>
        <w:t xml:space="preserve"> They add: “Unlike the intelligence and security perspective, an educational outlook allows youth, through extensive educational interaction, to probe identities that differ from the expectations and demands by the mainstream environment</w:t>
      </w:r>
      <w:r w:rsidR="00BB22E9" w:rsidRPr="00875526">
        <w:rPr>
          <w:rFonts w:asciiTheme="minorHAnsi" w:hAnsiTheme="minorHAnsi" w:cstheme="minorHAnsi"/>
          <w:color w:val="0B0C0C"/>
        </w:rPr>
        <w:t>.”</w:t>
      </w:r>
      <w:r w:rsidR="00900A87" w:rsidRPr="00930FD8">
        <w:rPr>
          <w:rStyle w:val="FootnoteReference"/>
          <w:rFonts w:asciiTheme="minorHAnsi" w:hAnsiTheme="minorHAnsi" w:cstheme="minorHAnsi"/>
          <w:color w:val="0B0C0C"/>
        </w:rPr>
        <w:footnoteReference w:id="50"/>
      </w:r>
      <w:r w:rsidR="00900A87" w:rsidRPr="00930FD8">
        <w:rPr>
          <w:rFonts w:asciiTheme="minorHAnsi" w:hAnsiTheme="minorHAnsi" w:cstheme="minorHAnsi"/>
          <w:color w:val="0B0C0C"/>
        </w:rPr>
        <w:t xml:space="preserve"> Applying an educational lens is after all what schools and universities are best at.</w:t>
      </w:r>
    </w:p>
    <w:p w14:paraId="6BBDA585" w14:textId="77777777" w:rsidR="00BB22E9" w:rsidRDefault="00BB22E9" w:rsidP="006D7281">
      <w:pPr>
        <w:jc w:val="both"/>
        <w:rPr>
          <w:rFonts w:asciiTheme="minorHAnsi" w:hAnsiTheme="minorHAnsi" w:cstheme="minorHAnsi"/>
          <w:color w:val="0B0C0C"/>
        </w:rPr>
      </w:pPr>
    </w:p>
    <w:p w14:paraId="45DA10F2" w14:textId="46CBED2F" w:rsidR="00217489" w:rsidRPr="002D3E62" w:rsidRDefault="00217489" w:rsidP="00217489">
      <w:pPr>
        <w:pStyle w:val="BodyText"/>
        <w:jc w:val="both"/>
        <w:rPr>
          <w:rFonts w:asciiTheme="minorHAnsi" w:eastAsia="Times New Roman" w:hAnsiTheme="minorHAnsi" w:cstheme="minorHAnsi"/>
          <w:i/>
          <w:iCs/>
          <w:sz w:val="24"/>
          <w:szCs w:val="24"/>
        </w:rPr>
      </w:pPr>
      <w:r w:rsidRPr="002D3E62">
        <w:rPr>
          <w:rFonts w:asciiTheme="minorHAnsi" w:eastAsia="Times New Roman" w:hAnsiTheme="minorHAnsi" w:cstheme="minorHAnsi"/>
          <w:i/>
          <w:iCs/>
          <w:sz w:val="24"/>
          <w:szCs w:val="24"/>
        </w:rPr>
        <w:t>Potential Iatrogenic Effects</w:t>
      </w:r>
    </w:p>
    <w:p w14:paraId="0A75CC63" w14:textId="77777777" w:rsidR="00217489" w:rsidRDefault="00217489" w:rsidP="00217489">
      <w:pPr>
        <w:pStyle w:val="BodyText"/>
        <w:jc w:val="both"/>
        <w:rPr>
          <w:rFonts w:asciiTheme="minorHAnsi" w:eastAsia="Times New Roman" w:hAnsiTheme="minorHAnsi" w:cstheme="minorHAnsi"/>
          <w:sz w:val="24"/>
          <w:szCs w:val="24"/>
        </w:rPr>
      </w:pPr>
    </w:p>
    <w:p w14:paraId="4740BBC9" w14:textId="7DA7B549" w:rsidR="007A6A3D" w:rsidRDefault="002D3E62" w:rsidP="007A6A3D">
      <w:pPr>
        <w:jc w:val="both"/>
        <w:rPr>
          <w:rFonts w:asciiTheme="minorHAnsi" w:eastAsiaTheme="minorHAnsi" w:hAnsiTheme="minorHAnsi" w:cstheme="minorHAnsi"/>
        </w:rPr>
      </w:pPr>
      <w:r>
        <w:rPr>
          <w:rFonts w:asciiTheme="minorHAnsi" w:hAnsiTheme="minorHAnsi" w:cstheme="minorHAnsi"/>
        </w:rPr>
        <w:t>In addition to the negative social impact that Prevent interventions may have on referred individuals, c</w:t>
      </w:r>
      <w:r w:rsidR="00EC29FF">
        <w:rPr>
          <w:rFonts w:asciiTheme="minorHAnsi" w:hAnsiTheme="minorHAnsi" w:cstheme="minorHAnsi"/>
        </w:rPr>
        <w:t xml:space="preserve">riminologists </w:t>
      </w:r>
      <w:r w:rsidR="00217489" w:rsidRPr="00FF6C9E">
        <w:rPr>
          <w:rFonts w:asciiTheme="minorHAnsi" w:hAnsiTheme="minorHAnsi" w:cstheme="minorHAnsi"/>
        </w:rPr>
        <w:t xml:space="preserve">Gabe Mythen, Sandra </w:t>
      </w:r>
      <w:proofErr w:type="spellStart"/>
      <w:r w:rsidR="00217489" w:rsidRPr="00FF6C9E">
        <w:rPr>
          <w:rFonts w:asciiTheme="minorHAnsi" w:hAnsiTheme="minorHAnsi" w:cstheme="minorHAnsi"/>
        </w:rPr>
        <w:t>Walklate</w:t>
      </w:r>
      <w:proofErr w:type="spellEnd"/>
      <w:r w:rsidR="00217489" w:rsidRPr="00FF6C9E">
        <w:rPr>
          <w:rFonts w:asciiTheme="minorHAnsi" w:hAnsiTheme="minorHAnsi" w:cstheme="minorHAnsi"/>
        </w:rPr>
        <w:t xml:space="preserve"> and Elizabeth-Jane </w:t>
      </w:r>
      <w:proofErr w:type="spellStart"/>
      <w:r w:rsidR="00217489" w:rsidRPr="00FF6C9E">
        <w:rPr>
          <w:rFonts w:asciiTheme="minorHAnsi" w:hAnsiTheme="minorHAnsi" w:cstheme="minorHAnsi"/>
        </w:rPr>
        <w:t>Peatfield</w:t>
      </w:r>
      <w:proofErr w:type="spellEnd"/>
      <w:r w:rsidR="00EC29FF">
        <w:rPr>
          <w:rFonts w:asciiTheme="minorHAnsi" w:hAnsiTheme="minorHAnsi" w:cstheme="minorHAnsi"/>
        </w:rPr>
        <w:t xml:space="preserve"> have </w:t>
      </w:r>
      <w:r>
        <w:rPr>
          <w:rFonts w:asciiTheme="minorHAnsi" w:hAnsiTheme="minorHAnsi" w:cstheme="minorHAnsi"/>
        </w:rPr>
        <w:t xml:space="preserve">raised the potential of an adverse clinical reaction </w:t>
      </w:r>
      <w:r w:rsidR="00271A4A">
        <w:rPr>
          <w:rFonts w:asciiTheme="minorHAnsi" w:hAnsiTheme="minorHAnsi" w:cstheme="minorHAnsi"/>
        </w:rPr>
        <w:t xml:space="preserve">occurring in some of those referred </w:t>
      </w:r>
      <w:r>
        <w:rPr>
          <w:rFonts w:asciiTheme="minorHAnsi" w:hAnsiTheme="minorHAnsi" w:cstheme="minorHAnsi"/>
        </w:rPr>
        <w:t>as well</w:t>
      </w:r>
      <w:r w:rsidR="007A6A3D">
        <w:rPr>
          <w:rFonts w:asciiTheme="minorHAnsi" w:hAnsiTheme="minorHAnsi" w:cstheme="minorHAnsi"/>
        </w:rPr>
        <w:t xml:space="preserve">, comparing it to the medical phenomenon of iatrogenesis – </w:t>
      </w:r>
      <w:r w:rsidR="00271A4A">
        <w:rPr>
          <w:rFonts w:asciiTheme="minorHAnsi" w:hAnsiTheme="minorHAnsi" w:cstheme="minorHAnsi"/>
        </w:rPr>
        <w:t xml:space="preserve">an illness that actually results from the </w:t>
      </w:r>
      <w:r w:rsidR="007A6A3D">
        <w:rPr>
          <w:rFonts w:asciiTheme="minorHAnsi" w:hAnsiTheme="minorHAnsi" w:cstheme="minorHAnsi"/>
        </w:rPr>
        <w:t>treatment</w:t>
      </w:r>
      <w:r w:rsidR="00DB0852" w:rsidRPr="00DB0852">
        <w:rPr>
          <w:rFonts w:asciiTheme="minorHAnsi" w:hAnsiTheme="minorHAnsi" w:cstheme="minorHAnsi"/>
        </w:rPr>
        <w:t xml:space="preserve"> </w:t>
      </w:r>
      <w:r w:rsidR="00DB0852">
        <w:rPr>
          <w:rFonts w:asciiTheme="minorHAnsi" w:hAnsiTheme="minorHAnsi" w:cstheme="minorHAnsi"/>
        </w:rPr>
        <w:t>proscribed</w:t>
      </w:r>
      <w:r>
        <w:rPr>
          <w:rFonts w:asciiTheme="minorHAnsi" w:hAnsiTheme="minorHAnsi" w:cstheme="minorHAnsi"/>
        </w:rPr>
        <w:t>.</w:t>
      </w:r>
      <w:r w:rsidR="00271A4A">
        <w:rPr>
          <w:rStyle w:val="FootnoteReference"/>
          <w:rFonts w:asciiTheme="minorHAnsi" w:hAnsiTheme="minorHAnsi" w:cstheme="minorHAnsi"/>
        </w:rPr>
        <w:footnoteReference w:id="51"/>
      </w:r>
      <w:r>
        <w:rPr>
          <w:rFonts w:asciiTheme="minorHAnsi" w:hAnsiTheme="minorHAnsi" w:cstheme="minorHAnsi"/>
        </w:rPr>
        <w:t xml:space="preserve"> Noting that </w:t>
      </w:r>
      <w:r w:rsidR="00DB0852">
        <w:rPr>
          <w:rFonts w:asciiTheme="minorHAnsi" w:hAnsiTheme="minorHAnsi" w:cstheme="minorHAnsi"/>
        </w:rPr>
        <w:t>“searching for meaning and identity is precisely what most human beings do most of the time, and young people do this more than most”,</w:t>
      </w:r>
      <w:r w:rsidR="00DB0852">
        <w:rPr>
          <w:rStyle w:val="FootnoteReference"/>
          <w:rFonts w:asciiTheme="minorHAnsi" w:hAnsiTheme="minorHAnsi" w:cstheme="minorHAnsi"/>
        </w:rPr>
        <w:footnoteReference w:id="52"/>
      </w:r>
      <w:r w:rsidR="00DB0852">
        <w:rPr>
          <w:rFonts w:asciiTheme="minorHAnsi" w:hAnsiTheme="minorHAnsi" w:cstheme="minorHAnsi"/>
        </w:rPr>
        <w:t xml:space="preserve"> </w:t>
      </w:r>
      <w:r w:rsidR="00C43CBB">
        <w:rPr>
          <w:rFonts w:asciiTheme="minorHAnsi" w:hAnsiTheme="minorHAnsi" w:cstheme="minorHAnsi"/>
        </w:rPr>
        <w:t xml:space="preserve">Mythen and his colleagues warn that by closing off legitimate avenues for dissent policymakers are also denying many youths from marginalized backgrounds the space to fully explore the complex identities that </w:t>
      </w:r>
      <w:r w:rsidR="007A6A3D">
        <w:rPr>
          <w:rFonts w:asciiTheme="minorHAnsi" w:hAnsiTheme="minorHAnsi" w:cstheme="minorHAnsi"/>
        </w:rPr>
        <w:t>are often a product of attempting to process and synthesize often conflicting cultural and societal influences</w:t>
      </w:r>
      <w:r w:rsidR="00C43CBB">
        <w:rPr>
          <w:rFonts w:asciiTheme="minorHAnsi" w:hAnsiTheme="minorHAnsi" w:cstheme="minorHAnsi"/>
        </w:rPr>
        <w:t xml:space="preserve">. </w:t>
      </w:r>
      <w:r w:rsidR="00DB0852">
        <w:rPr>
          <w:rFonts w:asciiTheme="minorHAnsi" w:hAnsiTheme="minorHAnsi" w:cstheme="minorHAnsi"/>
        </w:rPr>
        <w:t xml:space="preserve">This can be a challenging process, but it is one that the vast majority of people living in multicultural societies ultimately navigate successfully </w:t>
      </w:r>
      <w:r w:rsidR="00D57EE6">
        <w:rPr>
          <w:rFonts w:asciiTheme="minorHAnsi" w:hAnsiTheme="minorHAnsi" w:cstheme="minorHAnsi"/>
        </w:rPr>
        <w:t xml:space="preserve">- </w:t>
      </w:r>
      <w:r w:rsidR="00DB0852">
        <w:rPr>
          <w:rFonts w:asciiTheme="minorHAnsi" w:hAnsiTheme="minorHAnsi" w:cstheme="minorHAnsi"/>
        </w:rPr>
        <w:t>if left to their own devices. But, a</w:t>
      </w:r>
      <w:r w:rsidR="007A6A3D">
        <w:rPr>
          <w:rFonts w:asciiTheme="minorHAnsi" w:hAnsiTheme="minorHAnsi" w:cstheme="minorHAnsi"/>
        </w:rPr>
        <w:t>s</w:t>
      </w:r>
      <w:r w:rsidR="00271A4A">
        <w:rPr>
          <w:rFonts w:asciiTheme="minorHAnsi" w:hAnsiTheme="minorHAnsi" w:cstheme="minorHAnsi"/>
        </w:rPr>
        <w:t xml:space="preserve"> Arun</w:t>
      </w:r>
      <w:r w:rsidR="007A6A3D">
        <w:rPr>
          <w:rFonts w:asciiTheme="minorHAnsi" w:hAnsiTheme="minorHAnsi" w:cstheme="minorHAnsi"/>
        </w:rPr>
        <w:t xml:space="preserve"> </w:t>
      </w:r>
      <w:proofErr w:type="spellStart"/>
      <w:r w:rsidR="007A6A3D">
        <w:rPr>
          <w:rFonts w:asciiTheme="minorHAnsi" w:hAnsiTheme="minorHAnsi" w:cstheme="minorHAnsi"/>
        </w:rPr>
        <w:t>Kundnani</w:t>
      </w:r>
      <w:proofErr w:type="spellEnd"/>
      <w:r w:rsidR="007A6A3D">
        <w:rPr>
          <w:rFonts w:asciiTheme="minorHAnsi" w:hAnsiTheme="minorHAnsi" w:cstheme="minorHAnsi"/>
        </w:rPr>
        <w:t xml:space="preserve"> notes</w:t>
      </w:r>
      <w:r w:rsidR="00D57EE6">
        <w:rPr>
          <w:rFonts w:asciiTheme="minorHAnsi" w:hAnsiTheme="minorHAnsi" w:cstheme="minorHAnsi"/>
        </w:rPr>
        <w:t>, one consequence of Prevent is that this is often no longer the case</w:t>
      </w:r>
      <w:r w:rsidR="007A6A3D">
        <w:rPr>
          <w:rFonts w:asciiTheme="minorHAnsi" w:hAnsiTheme="minorHAnsi" w:cstheme="minorHAnsi"/>
        </w:rPr>
        <w:t>: “</w:t>
      </w:r>
      <w:r w:rsidR="007A6A3D" w:rsidRPr="007A6A3D">
        <w:rPr>
          <w:rFonts w:asciiTheme="minorHAnsi" w:eastAsiaTheme="minorHAnsi" w:hAnsiTheme="minorHAnsi" w:cstheme="minorHAnsi"/>
        </w:rPr>
        <w:t>For young Muslims in Britain, there is little space to express strongly worded</w:t>
      </w:r>
      <w:r w:rsidR="007A6A3D">
        <w:rPr>
          <w:rFonts w:asciiTheme="minorHAnsi" w:eastAsiaTheme="minorHAnsi" w:hAnsiTheme="minorHAnsi" w:cstheme="minorHAnsi"/>
        </w:rPr>
        <w:t xml:space="preserve"> </w:t>
      </w:r>
      <w:r w:rsidR="007A6A3D" w:rsidRPr="007A6A3D">
        <w:rPr>
          <w:rFonts w:asciiTheme="minorHAnsi" w:eastAsiaTheme="minorHAnsi" w:hAnsiTheme="minorHAnsi" w:cstheme="minorHAnsi"/>
        </w:rPr>
        <w:t>criticisms of foreign policies that have led to the deaths of hundreds of thousands</w:t>
      </w:r>
      <w:r w:rsidR="007A6A3D">
        <w:rPr>
          <w:rFonts w:asciiTheme="minorHAnsi" w:eastAsiaTheme="minorHAnsi" w:hAnsiTheme="minorHAnsi" w:cstheme="minorHAnsi"/>
        </w:rPr>
        <w:t xml:space="preserve"> </w:t>
      </w:r>
      <w:r w:rsidR="007A6A3D" w:rsidRPr="007A6A3D">
        <w:rPr>
          <w:rFonts w:asciiTheme="minorHAnsi" w:eastAsiaTheme="minorHAnsi" w:hAnsiTheme="minorHAnsi" w:cstheme="minorHAnsi"/>
        </w:rPr>
        <w:t>in the Middle East, South Asia and East Africa. Those who denounce such policies</w:t>
      </w:r>
      <w:r w:rsidR="007A6A3D">
        <w:rPr>
          <w:rFonts w:asciiTheme="minorHAnsi" w:eastAsiaTheme="minorHAnsi" w:hAnsiTheme="minorHAnsi" w:cstheme="minorHAnsi"/>
        </w:rPr>
        <w:t xml:space="preserve"> </w:t>
      </w:r>
      <w:r w:rsidR="007A6A3D" w:rsidRPr="007A6A3D">
        <w:rPr>
          <w:rFonts w:asciiTheme="minorHAnsi" w:eastAsiaTheme="minorHAnsi" w:hAnsiTheme="minorHAnsi" w:cstheme="minorHAnsi"/>
        </w:rPr>
        <w:t>are dubbed extremists and seen to be on a pathway of radicali</w:t>
      </w:r>
      <w:r w:rsidR="00271A4A">
        <w:rPr>
          <w:rFonts w:asciiTheme="minorHAnsi" w:eastAsiaTheme="minorHAnsi" w:hAnsiTheme="minorHAnsi" w:cstheme="minorHAnsi"/>
        </w:rPr>
        <w:t>z</w:t>
      </w:r>
      <w:r w:rsidR="007A6A3D" w:rsidRPr="007A6A3D">
        <w:rPr>
          <w:rFonts w:asciiTheme="minorHAnsi" w:eastAsiaTheme="minorHAnsi" w:hAnsiTheme="minorHAnsi" w:cstheme="minorHAnsi"/>
        </w:rPr>
        <w:t>ation rather than as</w:t>
      </w:r>
      <w:r w:rsidR="007A6A3D">
        <w:rPr>
          <w:rFonts w:asciiTheme="minorHAnsi" w:eastAsiaTheme="minorHAnsi" w:hAnsiTheme="minorHAnsi" w:cstheme="minorHAnsi"/>
        </w:rPr>
        <w:t xml:space="preserve"> </w:t>
      </w:r>
      <w:r w:rsidR="007A6A3D" w:rsidRPr="007A6A3D">
        <w:rPr>
          <w:rFonts w:asciiTheme="minorHAnsi" w:eastAsiaTheme="minorHAnsi" w:hAnsiTheme="minorHAnsi" w:cstheme="minorHAnsi"/>
        </w:rPr>
        <w:t>fellow citizens exercising their right to dissent. That is bad for civil liberties and</w:t>
      </w:r>
      <w:r w:rsidR="00271A4A">
        <w:rPr>
          <w:rFonts w:asciiTheme="minorHAnsi" w:eastAsiaTheme="minorHAnsi" w:hAnsiTheme="minorHAnsi" w:cstheme="minorHAnsi"/>
        </w:rPr>
        <w:t xml:space="preserve"> </w:t>
      </w:r>
      <w:r w:rsidR="007A6A3D" w:rsidRPr="007A6A3D">
        <w:rPr>
          <w:rFonts w:asciiTheme="minorHAnsi" w:eastAsiaTheme="minorHAnsi" w:hAnsiTheme="minorHAnsi" w:cstheme="minorHAnsi"/>
        </w:rPr>
        <w:t>bad for countering terrorism</w:t>
      </w:r>
      <w:r w:rsidR="00D57EE6">
        <w:rPr>
          <w:rFonts w:asciiTheme="minorHAnsi" w:eastAsiaTheme="minorHAnsi" w:hAnsiTheme="minorHAnsi" w:cstheme="minorHAnsi"/>
        </w:rPr>
        <w:t xml:space="preserve"> -</w:t>
      </w:r>
      <w:r w:rsidR="007A6A3D" w:rsidRPr="007A6A3D">
        <w:rPr>
          <w:rFonts w:asciiTheme="minorHAnsi" w:eastAsiaTheme="minorHAnsi" w:hAnsiTheme="minorHAnsi" w:cstheme="minorHAnsi"/>
        </w:rPr>
        <w:t xml:space="preserve"> without a legitimate outlet for political grievances,</w:t>
      </w:r>
      <w:r w:rsidR="007A6A3D">
        <w:rPr>
          <w:rFonts w:asciiTheme="minorHAnsi" w:eastAsiaTheme="minorHAnsi" w:hAnsiTheme="minorHAnsi" w:cstheme="minorHAnsi"/>
        </w:rPr>
        <w:t xml:space="preserve"> </w:t>
      </w:r>
      <w:r w:rsidR="007A6A3D" w:rsidRPr="007A6A3D">
        <w:rPr>
          <w:rFonts w:asciiTheme="minorHAnsi" w:eastAsiaTheme="minorHAnsi" w:hAnsiTheme="minorHAnsi" w:cstheme="minorHAnsi"/>
        </w:rPr>
        <w:t>violence is more likely.</w:t>
      </w:r>
      <w:r w:rsidR="007A6A3D">
        <w:rPr>
          <w:rFonts w:asciiTheme="minorHAnsi" w:eastAsiaTheme="minorHAnsi" w:hAnsiTheme="minorHAnsi" w:cstheme="minorHAnsi"/>
        </w:rPr>
        <w:t>”</w:t>
      </w:r>
      <w:r w:rsidR="00271A4A">
        <w:rPr>
          <w:rStyle w:val="FootnoteReference"/>
          <w:rFonts w:asciiTheme="minorHAnsi" w:eastAsiaTheme="minorHAnsi" w:hAnsiTheme="minorHAnsi" w:cstheme="minorHAnsi"/>
        </w:rPr>
        <w:footnoteReference w:id="53"/>
      </w:r>
      <w:r w:rsidR="00271A4A">
        <w:rPr>
          <w:rFonts w:asciiTheme="minorHAnsi" w:eastAsiaTheme="minorHAnsi" w:hAnsiTheme="minorHAnsi" w:cstheme="minorHAnsi"/>
        </w:rPr>
        <w:t xml:space="preserve"> </w:t>
      </w:r>
      <w:r w:rsidR="006E428F">
        <w:rPr>
          <w:rFonts w:asciiTheme="minorHAnsi" w:eastAsiaTheme="minorHAnsi" w:hAnsiTheme="minorHAnsi" w:cstheme="minorHAnsi"/>
        </w:rPr>
        <w:t xml:space="preserve">Mythen and his colleagues warn that this process of </w:t>
      </w:r>
      <w:r w:rsidR="006E428F">
        <w:rPr>
          <w:rFonts w:asciiTheme="minorHAnsi" w:hAnsiTheme="minorHAnsi" w:cstheme="minorHAnsi"/>
        </w:rPr>
        <w:t>“</w:t>
      </w:r>
      <w:proofErr w:type="spellStart"/>
      <w:r w:rsidR="006E428F">
        <w:rPr>
          <w:rFonts w:asciiTheme="minorHAnsi" w:hAnsiTheme="minorHAnsi" w:cstheme="minorHAnsi"/>
        </w:rPr>
        <w:t>suspectif</w:t>
      </w:r>
      <w:r w:rsidR="000401E3">
        <w:rPr>
          <w:rFonts w:asciiTheme="minorHAnsi" w:hAnsiTheme="minorHAnsi" w:cstheme="minorHAnsi"/>
        </w:rPr>
        <w:t>i</w:t>
      </w:r>
      <w:r w:rsidR="006E428F">
        <w:rPr>
          <w:rFonts w:asciiTheme="minorHAnsi" w:hAnsiTheme="minorHAnsi" w:cstheme="minorHAnsi"/>
        </w:rPr>
        <w:t>cation</w:t>
      </w:r>
      <w:proofErr w:type="spellEnd"/>
      <w:r w:rsidR="006E428F">
        <w:rPr>
          <w:rFonts w:asciiTheme="minorHAnsi" w:hAnsiTheme="minorHAnsi" w:cstheme="minorHAnsi"/>
        </w:rPr>
        <w:t xml:space="preserve">” can push individuals into more </w:t>
      </w:r>
      <w:r w:rsidR="00B7532C">
        <w:rPr>
          <w:rFonts w:asciiTheme="minorHAnsi" w:hAnsiTheme="minorHAnsi" w:cstheme="minorHAnsi"/>
        </w:rPr>
        <w:t xml:space="preserve">extreme </w:t>
      </w:r>
      <w:r w:rsidR="006E428F">
        <w:rPr>
          <w:rFonts w:asciiTheme="minorHAnsi" w:hAnsiTheme="minorHAnsi" w:cstheme="minorHAnsi"/>
        </w:rPr>
        <w:t>positions than they might otherwise have adopted, and that by pressuring individuals into counselling or stigmatizing them as potential threats</w:t>
      </w:r>
      <w:r w:rsidR="00421FF3">
        <w:rPr>
          <w:rFonts w:asciiTheme="minorHAnsi" w:hAnsiTheme="minorHAnsi" w:cstheme="minorHAnsi"/>
        </w:rPr>
        <w:t>,</w:t>
      </w:r>
      <w:r w:rsidR="006E428F">
        <w:rPr>
          <w:rFonts w:asciiTheme="minorHAnsi" w:hAnsiTheme="minorHAnsi" w:cstheme="minorHAnsi"/>
        </w:rPr>
        <w:t xml:space="preserve"> </w:t>
      </w:r>
      <w:r w:rsidR="00D57EE6">
        <w:rPr>
          <w:rFonts w:asciiTheme="minorHAnsi" w:hAnsiTheme="minorHAnsi" w:cstheme="minorHAnsi"/>
        </w:rPr>
        <w:t>the state may only be increasing their sense of persecution and alienation, and thus be clinically worsening their disposition.</w:t>
      </w:r>
      <w:r w:rsidR="006E428F">
        <w:rPr>
          <w:rStyle w:val="FootnoteReference"/>
          <w:rFonts w:asciiTheme="minorHAnsi" w:hAnsiTheme="minorHAnsi" w:cstheme="minorHAnsi"/>
        </w:rPr>
        <w:footnoteReference w:id="54"/>
      </w:r>
      <w:r w:rsidR="00D57EE6">
        <w:rPr>
          <w:rFonts w:asciiTheme="minorHAnsi" w:hAnsiTheme="minorHAnsi" w:cstheme="minorHAnsi"/>
        </w:rPr>
        <w:t xml:space="preserve"> </w:t>
      </w:r>
      <w:r w:rsidR="00B7532C">
        <w:rPr>
          <w:rFonts w:asciiTheme="minorHAnsi" w:hAnsiTheme="minorHAnsi" w:cstheme="minorHAnsi"/>
        </w:rPr>
        <w:t xml:space="preserve">It must be acknowledged that we currently lack sufficient granularity in the </w:t>
      </w:r>
      <w:r w:rsidR="00421FF3">
        <w:rPr>
          <w:rFonts w:asciiTheme="minorHAnsi" w:hAnsiTheme="minorHAnsi" w:cstheme="minorHAnsi"/>
        </w:rPr>
        <w:t>publicly available</w:t>
      </w:r>
      <w:r w:rsidR="00B7532C">
        <w:rPr>
          <w:rFonts w:asciiTheme="minorHAnsi" w:hAnsiTheme="minorHAnsi" w:cstheme="minorHAnsi"/>
        </w:rPr>
        <w:t xml:space="preserve"> data on Prevent (a common theme) to point to specific individual cases, but with </w:t>
      </w:r>
      <w:r w:rsidR="00B7532C" w:rsidRPr="00930FD8">
        <w:rPr>
          <w:rFonts w:asciiTheme="minorHAnsi" w:hAnsiTheme="minorHAnsi" w:cstheme="minorHAnsi"/>
          <w:color w:val="000000" w:themeColor="text1"/>
          <w:shd w:val="clear" w:color="auto" w:fill="FFFFFF"/>
        </w:rPr>
        <w:t xml:space="preserve">seven </w:t>
      </w:r>
      <w:r w:rsidR="00D24A12">
        <w:rPr>
          <w:rFonts w:asciiTheme="minorHAnsi" w:hAnsiTheme="minorHAnsi" w:cstheme="minorHAnsi"/>
          <w:color w:val="000000" w:themeColor="text1"/>
          <w:shd w:val="clear" w:color="auto" w:fill="FFFFFF"/>
        </w:rPr>
        <w:t xml:space="preserve">terrorist </w:t>
      </w:r>
      <w:r w:rsidR="00B7532C" w:rsidRPr="00930FD8">
        <w:rPr>
          <w:rFonts w:asciiTheme="minorHAnsi" w:hAnsiTheme="minorHAnsi" w:cstheme="minorHAnsi"/>
          <w:color w:val="000000" w:themeColor="text1"/>
          <w:shd w:val="clear" w:color="auto" w:fill="FFFFFF"/>
        </w:rPr>
        <w:t>attacks in the</w:t>
      </w:r>
      <w:r w:rsidR="00B7532C" w:rsidRPr="00930FD8">
        <w:rPr>
          <w:rFonts w:asciiTheme="minorHAnsi" w:hAnsiTheme="minorHAnsi" w:cstheme="minorHAnsi"/>
          <w:color w:val="000000" w:themeColor="text1"/>
        </w:rPr>
        <w:t xml:space="preserve"> past five years perpetrated </w:t>
      </w:r>
      <w:r w:rsidR="00B7532C">
        <w:rPr>
          <w:rFonts w:asciiTheme="minorHAnsi" w:hAnsiTheme="minorHAnsi" w:cstheme="minorHAnsi"/>
          <w:color w:val="000000" w:themeColor="text1"/>
        </w:rPr>
        <w:t>by individuals know</w:t>
      </w:r>
      <w:r w:rsidR="00D24A12">
        <w:rPr>
          <w:rFonts w:asciiTheme="minorHAnsi" w:hAnsiTheme="minorHAnsi" w:cstheme="minorHAnsi"/>
          <w:color w:val="000000" w:themeColor="text1"/>
        </w:rPr>
        <w:t>n</w:t>
      </w:r>
      <w:r w:rsidR="00B7532C">
        <w:rPr>
          <w:rFonts w:asciiTheme="minorHAnsi" w:hAnsiTheme="minorHAnsi" w:cstheme="minorHAnsi"/>
          <w:color w:val="000000" w:themeColor="text1"/>
        </w:rPr>
        <w:t xml:space="preserve"> to Prevent </w:t>
      </w:r>
      <w:proofErr w:type="spellStart"/>
      <w:r w:rsidR="00B7532C">
        <w:rPr>
          <w:rFonts w:asciiTheme="minorHAnsi" w:hAnsiTheme="minorHAnsi" w:cstheme="minorHAnsi"/>
          <w:color w:val="000000" w:themeColor="text1"/>
        </w:rPr>
        <w:t>programmes</w:t>
      </w:r>
      <w:proofErr w:type="spellEnd"/>
      <w:r w:rsidR="00D24A12">
        <w:rPr>
          <w:rFonts w:asciiTheme="minorHAnsi" w:hAnsiTheme="minorHAnsi" w:cstheme="minorHAnsi"/>
          <w:color w:val="000000" w:themeColor="text1"/>
        </w:rPr>
        <w:t>,</w:t>
      </w:r>
      <w:r w:rsidR="00B7532C">
        <w:rPr>
          <w:rFonts w:asciiTheme="minorHAnsi" w:hAnsiTheme="minorHAnsi" w:cstheme="minorHAnsi"/>
          <w:color w:val="000000" w:themeColor="text1"/>
        </w:rPr>
        <w:t xml:space="preserve"> it is </w:t>
      </w:r>
      <w:r w:rsidR="00421FF3">
        <w:rPr>
          <w:rFonts w:asciiTheme="minorHAnsi" w:hAnsiTheme="minorHAnsi" w:cstheme="minorHAnsi"/>
          <w:color w:val="000000" w:themeColor="text1"/>
        </w:rPr>
        <w:t xml:space="preserve">seems </w:t>
      </w:r>
      <w:r w:rsidR="00B7532C">
        <w:rPr>
          <w:rFonts w:asciiTheme="minorHAnsi" w:hAnsiTheme="minorHAnsi" w:cstheme="minorHAnsi"/>
          <w:color w:val="000000" w:themeColor="text1"/>
        </w:rPr>
        <w:t xml:space="preserve">clear that </w:t>
      </w:r>
      <w:r w:rsidR="00D24A12">
        <w:rPr>
          <w:rFonts w:asciiTheme="minorHAnsi" w:hAnsiTheme="minorHAnsi" w:cstheme="minorHAnsi"/>
          <w:color w:val="000000" w:themeColor="text1"/>
        </w:rPr>
        <w:t xml:space="preserve">this is </w:t>
      </w:r>
      <w:r w:rsidR="00421FF3">
        <w:rPr>
          <w:rFonts w:asciiTheme="minorHAnsi" w:hAnsiTheme="minorHAnsi" w:cstheme="minorHAnsi"/>
          <w:color w:val="000000" w:themeColor="text1"/>
        </w:rPr>
        <w:t xml:space="preserve">a </w:t>
      </w:r>
      <w:r w:rsidR="00D24A12">
        <w:rPr>
          <w:rFonts w:asciiTheme="minorHAnsi" w:hAnsiTheme="minorHAnsi" w:cstheme="minorHAnsi"/>
          <w:color w:val="000000" w:themeColor="text1"/>
        </w:rPr>
        <w:t xml:space="preserve">line of inquiry that merits further investigation. </w:t>
      </w:r>
    </w:p>
    <w:p w14:paraId="64E470F9" w14:textId="77777777" w:rsidR="00D57EE6" w:rsidRDefault="00D57EE6" w:rsidP="005C4B6B">
      <w:pPr>
        <w:pStyle w:val="BodyText"/>
        <w:jc w:val="both"/>
        <w:rPr>
          <w:rFonts w:asciiTheme="minorHAnsi" w:eastAsia="Times New Roman" w:hAnsiTheme="minorHAnsi" w:cstheme="minorHAnsi"/>
          <w:sz w:val="24"/>
          <w:szCs w:val="24"/>
        </w:rPr>
      </w:pPr>
    </w:p>
    <w:p w14:paraId="6E5B3E41" w14:textId="4D9EEC84" w:rsidR="005C4B6B" w:rsidRPr="00930FD8" w:rsidRDefault="005C4B6B" w:rsidP="005C4B6B">
      <w:pPr>
        <w:pStyle w:val="BodyText"/>
        <w:jc w:val="both"/>
        <w:rPr>
          <w:rFonts w:asciiTheme="minorHAnsi" w:eastAsia="Times New Roman" w:hAnsiTheme="minorHAnsi" w:cstheme="minorHAnsi"/>
          <w:i/>
          <w:iCs/>
          <w:color w:val="0B0C0C"/>
          <w:sz w:val="24"/>
          <w:szCs w:val="24"/>
        </w:rPr>
      </w:pPr>
      <w:r w:rsidRPr="00930FD8">
        <w:rPr>
          <w:rFonts w:asciiTheme="minorHAnsi" w:eastAsia="Times New Roman" w:hAnsiTheme="minorHAnsi" w:cstheme="minorHAnsi"/>
          <w:i/>
          <w:iCs/>
          <w:color w:val="0B0C0C"/>
          <w:sz w:val="24"/>
          <w:szCs w:val="24"/>
        </w:rPr>
        <w:t>Creating Suspect Communities</w:t>
      </w:r>
    </w:p>
    <w:p w14:paraId="3D703CC6" w14:textId="77777777" w:rsidR="005C4B6B" w:rsidRPr="00930FD8" w:rsidRDefault="005C4B6B" w:rsidP="005C4B6B">
      <w:pPr>
        <w:pStyle w:val="BodyText"/>
        <w:jc w:val="both"/>
        <w:rPr>
          <w:rFonts w:asciiTheme="minorHAnsi" w:eastAsia="Times New Roman" w:hAnsiTheme="minorHAnsi" w:cstheme="minorHAnsi"/>
          <w:i/>
          <w:iCs/>
          <w:color w:val="0B0C0C"/>
          <w:sz w:val="24"/>
          <w:szCs w:val="24"/>
        </w:rPr>
      </w:pPr>
    </w:p>
    <w:p w14:paraId="596CB736" w14:textId="69E35F44" w:rsidR="00710C51" w:rsidRPr="00930FD8" w:rsidRDefault="00763B3A" w:rsidP="005C4B6B">
      <w:pPr>
        <w:jc w:val="both"/>
        <w:rPr>
          <w:rFonts w:asciiTheme="minorHAnsi" w:hAnsiTheme="minorHAnsi" w:cstheme="minorHAnsi"/>
        </w:rPr>
      </w:pPr>
      <w:r>
        <w:rPr>
          <w:rFonts w:asciiTheme="minorHAnsi" w:hAnsiTheme="minorHAnsi" w:cstheme="minorHAnsi"/>
        </w:rPr>
        <w:t>‘</w:t>
      </w:r>
      <w:proofErr w:type="spellStart"/>
      <w:r w:rsidR="00D24A12">
        <w:rPr>
          <w:rFonts w:asciiTheme="minorHAnsi" w:hAnsiTheme="minorHAnsi" w:cstheme="minorHAnsi"/>
        </w:rPr>
        <w:t>Suspectif</w:t>
      </w:r>
      <w:r w:rsidR="000401E3">
        <w:rPr>
          <w:rFonts w:asciiTheme="minorHAnsi" w:hAnsiTheme="minorHAnsi" w:cstheme="minorHAnsi"/>
        </w:rPr>
        <w:t>i</w:t>
      </w:r>
      <w:r w:rsidR="00D24A12">
        <w:rPr>
          <w:rFonts w:asciiTheme="minorHAnsi" w:hAnsiTheme="minorHAnsi" w:cstheme="minorHAnsi"/>
        </w:rPr>
        <w:t>cation</w:t>
      </w:r>
      <w:proofErr w:type="spellEnd"/>
      <w:r>
        <w:rPr>
          <w:rFonts w:asciiTheme="minorHAnsi" w:hAnsiTheme="minorHAnsi" w:cstheme="minorHAnsi"/>
        </w:rPr>
        <w:t>’</w:t>
      </w:r>
      <w:r w:rsidR="00D24A12">
        <w:rPr>
          <w:rFonts w:asciiTheme="minorHAnsi" w:hAnsiTheme="minorHAnsi" w:cstheme="minorHAnsi"/>
        </w:rPr>
        <w:t xml:space="preserve"> is not just limited to individual cases. </w:t>
      </w:r>
      <w:r w:rsidR="005C4B6B" w:rsidRPr="00930FD8">
        <w:rPr>
          <w:rFonts w:asciiTheme="minorHAnsi" w:hAnsiTheme="minorHAnsi" w:cstheme="minorHAnsi"/>
          <w:color w:val="231F20"/>
        </w:rPr>
        <w:t xml:space="preserve">Writing about the application of the Prevention of Terrorism Act in Northern Ireland in the 1980s and early 1990s, the Belfast-based criminologist Paddy Hillyard coined the term “suspect communities” to describe how the Catholic community in Northern Ireland had come to be treated very differently from the rest of the British population in </w:t>
      </w:r>
      <w:r w:rsidR="005C4B6B" w:rsidRPr="00930FD8">
        <w:rPr>
          <w:rFonts w:asciiTheme="minorHAnsi" w:hAnsiTheme="minorHAnsi" w:cstheme="minorHAnsi"/>
          <w:color w:val="231F20"/>
          <w:spacing w:val="-3"/>
        </w:rPr>
        <w:t xml:space="preserve">law, </w:t>
      </w:r>
      <w:r w:rsidR="005C4B6B" w:rsidRPr="00930FD8">
        <w:rPr>
          <w:rFonts w:asciiTheme="minorHAnsi" w:hAnsiTheme="minorHAnsi" w:cstheme="minorHAnsi"/>
          <w:color w:val="231F20"/>
        </w:rPr>
        <w:t>policy, and police practices.</w:t>
      </w:r>
      <w:r w:rsidR="005C4B6B" w:rsidRPr="00930FD8">
        <w:rPr>
          <w:rFonts w:asciiTheme="minorHAnsi" w:hAnsiTheme="minorHAnsi" w:cstheme="minorHAnsi"/>
        </w:rPr>
        <w:t xml:space="preserve"> Hillyard defined a suspect community as “a subgroup of the population that is singled out for state attention as being ‘problematic’. Specifically in terms of policing, individuals may be targeted, not necessarily as a result of suspected wrong doing, but simply because of their presumed membership of that sub-group. Race, ethnicity, religion, class, gender, language, accent, dress, political ideology </w:t>
      </w:r>
      <w:r w:rsidR="005C4B6B" w:rsidRPr="00930FD8">
        <w:rPr>
          <w:rFonts w:asciiTheme="minorHAnsi" w:hAnsiTheme="minorHAnsi" w:cstheme="minorHAnsi"/>
        </w:rPr>
        <w:lastRenderedPageBreak/>
        <w:t>or any combination of these factors may serve to delineate the sub-group.”</w:t>
      </w:r>
      <w:r w:rsidR="005C4B6B" w:rsidRPr="00930FD8">
        <w:rPr>
          <w:rStyle w:val="FootnoteReference"/>
          <w:rFonts w:asciiTheme="minorHAnsi" w:hAnsiTheme="minorHAnsi" w:cstheme="minorHAnsi"/>
        </w:rPr>
        <w:footnoteReference w:id="55"/>
      </w:r>
      <w:r w:rsidR="005C4B6B" w:rsidRPr="00930FD8">
        <w:rPr>
          <w:rFonts w:asciiTheme="minorHAnsi" w:hAnsiTheme="minorHAnsi" w:cstheme="minorHAnsi"/>
          <w:color w:val="0B0C0C"/>
        </w:rPr>
        <w:t xml:space="preserve"> </w:t>
      </w:r>
      <w:r w:rsidR="005C4B6B" w:rsidRPr="00930FD8">
        <w:rPr>
          <w:rFonts w:asciiTheme="minorHAnsi" w:hAnsiTheme="minorHAnsi" w:cstheme="minorHAnsi"/>
        </w:rPr>
        <w:t xml:space="preserve">Hillyard argued that the passage of the first Prevention of Terrorism Act in 1974, and specifically the introduction of new offences, wide powers of examination, seizure, arrest and detention, to proscribe selected </w:t>
      </w:r>
      <w:proofErr w:type="spellStart"/>
      <w:r w:rsidR="005C4B6B" w:rsidRPr="00930FD8">
        <w:rPr>
          <w:rFonts w:asciiTheme="minorHAnsi" w:hAnsiTheme="minorHAnsi" w:cstheme="minorHAnsi"/>
        </w:rPr>
        <w:t>organisations</w:t>
      </w:r>
      <w:proofErr w:type="spellEnd"/>
      <w:r w:rsidR="005C4B6B" w:rsidRPr="00930FD8">
        <w:rPr>
          <w:rFonts w:asciiTheme="minorHAnsi" w:hAnsiTheme="minorHAnsi" w:cstheme="minorHAnsi"/>
        </w:rPr>
        <w:t xml:space="preserve"> and to issue exclusion orders, had in effect socially constructed a suspect community on British soil</w:t>
      </w:r>
      <w:r w:rsidR="00FC3D52">
        <w:rPr>
          <w:rFonts w:asciiTheme="minorHAnsi" w:hAnsiTheme="minorHAnsi" w:cstheme="minorHAnsi"/>
        </w:rPr>
        <w:t>. Hillyard concluded:</w:t>
      </w:r>
      <w:r w:rsidR="005C4B6B" w:rsidRPr="00930FD8">
        <w:rPr>
          <w:rFonts w:asciiTheme="minorHAnsi" w:hAnsiTheme="minorHAnsi" w:cstheme="minorHAnsi"/>
        </w:rPr>
        <w:t xml:space="preserve"> “</w:t>
      </w:r>
      <w:r w:rsidR="00FC3D52">
        <w:rPr>
          <w:rFonts w:asciiTheme="minorHAnsi" w:hAnsiTheme="minorHAnsi" w:cstheme="minorHAnsi"/>
        </w:rPr>
        <w:t>T</w:t>
      </w:r>
      <w:r w:rsidR="005C4B6B" w:rsidRPr="00930FD8">
        <w:rPr>
          <w:rFonts w:asciiTheme="minorHAnsi" w:hAnsiTheme="minorHAnsi" w:cstheme="minorHAnsi"/>
        </w:rPr>
        <w:t xml:space="preserve">o the extent that the legislation is principally directed at Irish people, it is an example of </w:t>
      </w:r>
      <w:proofErr w:type="spellStart"/>
      <w:r w:rsidR="005C4B6B" w:rsidRPr="00930FD8">
        <w:rPr>
          <w:rFonts w:asciiTheme="minorHAnsi" w:hAnsiTheme="minorHAnsi" w:cstheme="minorHAnsi"/>
        </w:rPr>
        <w:t>institutionalised</w:t>
      </w:r>
      <w:proofErr w:type="spellEnd"/>
      <w:r w:rsidR="005C4B6B" w:rsidRPr="00930FD8">
        <w:rPr>
          <w:rFonts w:asciiTheme="minorHAnsi" w:hAnsiTheme="minorHAnsi" w:cstheme="minorHAnsi"/>
        </w:rPr>
        <w:t xml:space="preserve"> racism.”</w:t>
      </w:r>
      <w:r w:rsidR="005C4B6B" w:rsidRPr="00930FD8">
        <w:rPr>
          <w:rStyle w:val="FootnoteReference"/>
          <w:rFonts w:asciiTheme="minorHAnsi" w:hAnsiTheme="minorHAnsi" w:cstheme="minorHAnsi"/>
        </w:rPr>
        <w:footnoteReference w:id="56"/>
      </w:r>
      <w:r w:rsidR="005C4B6B" w:rsidRPr="00930FD8">
        <w:rPr>
          <w:rFonts w:asciiTheme="minorHAnsi" w:hAnsiTheme="minorHAnsi" w:cstheme="minorHAnsi"/>
        </w:rPr>
        <w:t xml:space="preserve"> </w:t>
      </w:r>
    </w:p>
    <w:p w14:paraId="13F30845" w14:textId="77777777" w:rsidR="00710C51" w:rsidRPr="00930FD8" w:rsidRDefault="00710C51" w:rsidP="005C4B6B">
      <w:pPr>
        <w:jc w:val="both"/>
        <w:rPr>
          <w:rFonts w:asciiTheme="minorHAnsi" w:hAnsiTheme="minorHAnsi" w:cstheme="minorHAnsi"/>
        </w:rPr>
      </w:pPr>
    </w:p>
    <w:p w14:paraId="15D846D5" w14:textId="3ABD870E" w:rsidR="005C4B6B" w:rsidRPr="00930FD8" w:rsidRDefault="005C4B6B" w:rsidP="005C4B6B">
      <w:pPr>
        <w:jc w:val="both"/>
        <w:rPr>
          <w:rFonts w:asciiTheme="minorHAnsi" w:hAnsiTheme="minorHAnsi" w:cstheme="minorHAnsi"/>
        </w:rPr>
      </w:pPr>
      <w:proofErr w:type="spellStart"/>
      <w:r w:rsidRPr="00930FD8">
        <w:rPr>
          <w:rFonts w:asciiTheme="minorHAnsi" w:hAnsiTheme="minorHAnsi" w:cstheme="minorHAnsi"/>
          <w:color w:val="0B0C0C"/>
        </w:rPr>
        <w:t>Tazeen</w:t>
      </w:r>
      <w:proofErr w:type="spellEnd"/>
      <w:r w:rsidRPr="00930FD8">
        <w:rPr>
          <w:rFonts w:asciiTheme="minorHAnsi" w:hAnsiTheme="minorHAnsi" w:cstheme="minorHAnsi"/>
          <w:color w:val="0B0C0C"/>
        </w:rPr>
        <w:t xml:space="preserve"> Said was one of the first to draw the parallel between Hillyard’s work and the government’s response to the threat posed by Islamist extremism in the aftermath of the 9/11 attacks, observing in a report written for the human rights charity Liberty in reference to Hillyard’s thesis: “A decade later, substitute ‘Irish’ for ‘Muslim’ and this could easily be read as a description of the impact and operation of the Terrorism Act 2000 and the Anti-Terrorism, Crime and Security Act 2001.”</w:t>
      </w:r>
      <w:r w:rsidRPr="00930FD8">
        <w:rPr>
          <w:rStyle w:val="FootnoteReference"/>
          <w:rFonts w:asciiTheme="minorHAnsi" w:hAnsiTheme="minorHAnsi" w:cstheme="minorHAnsi"/>
          <w:color w:val="0B0C0C"/>
        </w:rPr>
        <w:footnoteReference w:id="57"/>
      </w:r>
      <w:r w:rsidRPr="00930FD8">
        <w:rPr>
          <w:rFonts w:asciiTheme="minorHAnsi" w:hAnsiTheme="minorHAnsi" w:cstheme="minorHAnsi"/>
          <w:color w:val="0B0C0C"/>
        </w:rPr>
        <w:t xml:space="preserve"> </w:t>
      </w:r>
      <w:r w:rsidRPr="00930FD8">
        <w:rPr>
          <w:rFonts w:asciiTheme="minorHAnsi" w:hAnsiTheme="minorHAnsi" w:cstheme="minorHAnsi"/>
        </w:rPr>
        <w:t xml:space="preserve">The Muslim Council of Britain </w:t>
      </w:r>
      <w:r w:rsidR="003A3143" w:rsidRPr="00930FD8">
        <w:rPr>
          <w:rFonts w:asciiTheme="minorHAnsi" w:hAnsiTheme="minorHAnsi" w:cstheme="minorHAnsi"/>
        </w:rPr>
        <w:t>also referenced Hill</w:t>
      </w:r>
      <w:r w:rsidR="00DC39D9" w:rsidRPr="00930FD8">
        <w:rPr>
          <w:rFonts w:asciiTheme="minorHAnsi" w:hAnsiTheme="minorHAnsi" w:cstheme="minorHAnsi"/>
        </w:rPr>
        <w:t>y</w:t>
      </w:r>
      <w:r w:rsidR="003A3143" w:rsidRPr="00930FD8">
        <w:rPr>
          <w:rFonts w:asciiTheme="minorHAnsi" w:hAnsiTheme="minorHAnsi" w:cstheme="minorHAnsi"/>
        </w:rPr>
        <w:t xml:space="preserve">ard’s work in </w:t>
      </w:r>
      <w:r w:rsidR="00FE338C" w:rsidRPr="00930FD8">
        <w:rPr>
          <w:rFonts w:asciiTheme="minorHAnsi" w:hAnsiTheme="minorHAnsi" w:cstheme="minorHAnsi"/>
        </w:rPr>
        <w:t>a memorandum</w:t>
      </w:r>
      <w:r w:rsidR="003A3143" w:rsidRPr="00930FD8">
        <w:rPr>
          <w:rFonts w:asciiTheme="minorHAnsi" w:hAnsiTheme="minorHAnsi" w:cstheme="minorHAnsi"/>
        </w:rPr>
        <w:t xml:space="preserve"> submitted to the House of Commons</w:t>
      </w:r>
      <w:r w:rsidRPr="00930FD8">
        <w:rPr>
          <w:rFonts w:asciiTheme="minorHAnsi" w:hAnsiTheme="minorHAnsi" w:cstheme="minorHAnsi"/>
        </w:rPr>
        <w:t xml:space="preserve"> Home Affairs Committee</w:t>
      </w:r>
      <w:r w:rsidR="003A3143" w:rsidRPr="00930FD8">
        <w:rPr>
          <w:rFonts w:asciiTheme="minorHAnsi" w:hAnsiTheme="minorHAnsi" w:cstheme="minorHAnsi"/>
        </w:rPr>
        <w:t>’s hearings on</w:t>
      </w:r>
      <w:r w:rsidRPr="00930FD8">
        <w:rPr>
          <w:rFonts w:asciiTheme="minorHAnsi" w:hAnsiTheme="minorHAnsi" w:cstheme="minorHAnsi"/>
        </w:rPr>
        <w:t xml:space="preserve"> Terrorism and Community Relations in </w:t>
      </w:r>
      <w:r w:rsidR="00DC39D9" w:rsidRPr="00930FD8">
        <w:rPr>
          <w:rFonts w:asciiTheme="minorHAnsi" w:hAnsiTheme="minorHAnsi" w:cstheme="minorHAnsi"/>
        </w:rPr>
        <w:t xml:space="preserve">September </w:t>
      </w:r>
      <w:r w:rsidRPr="00930FD8">
        <w:rPr>
          <w:rFonts w:asciiTheme="minorHAnsi" w:hAnsiTheme="minorHAnsi" w:cstheme="minorHAnsi"/>
        </w:rPr>
        <w:t>200</w:t>
      </w:r>
      <w:r w:rsidR="00DC39D9" w:rsidRPr="00930FD8">
        <w:rPr>
          <w:rFonts w:asciiTheme="minorHAnsi" w:hAnsiTheme="minorHAnsi" w:cstheme="minorHAnsi"/>
        </w:rPr>
        <w:t>4</w:t>
      </w:r>
      <w:r w:rsidR="003A3143" w:rsidRPr="00930FD8">
        <w:rPr>
          <w:rFonts w:asciiTheme="minorHAnsi" w:hAnsiTheme="minorHAnsi" w:cstheme="minorHAnsi"/>
        </w:rPr>
        <w:t xml:space="preserve">, </w:t>
      </w:r>
      <w:r w:rsidR="00FE338C" w:rsidRPr="00930FD8">
        <w:rPr>
          <w:rFonts w:asciiTheme="minorHAnsi" w:hAnsiTheme="minorHAnsi" w:cstheme="minorHAnsi"/>
        </w:rPr>
        <w:t>not</w:t>
      </w:r>
      <w:r w:rsidR="003A3143" w:rsidRPr="00930FD8">
        <w:rPr>
          <w:rFonts w:asciiTheme="minorHAnsi" w:hAnsiTheme="minorHAnsi" w:cstheme="minorHAnsi"/>
        </w:rPr>
        <w:t>ing</w:t>
      </w:r>
      <w:r w:rsidRPr="00930FD8">
        <w:rPr>
          <w:rFonts w:asciiTheme="minorHAnsi" w:hAnsiTheme="minorHAnsi" w:cstheme="minorHAnsi"/>
        </w:rPr>
        <w:t xml:space="preserve"> that once a community is treated as suspect by the police “the public are encouraged to do the same” and </w:t>
      </w:r>
      <w:r w:rsidR="00FE338C" w:rsidRPr="00930FD8">
        <w:rPr>
          <w:rFonts w:asciiTheme="minorHAnsi" w:hAnsiTheme="minorHAnsi" w:cstheme="minorHAnsi"/>
        </w:rPr>
        <w:t xml:space="preserve">warning that this dynamic had led to an </w:t>
      </w:r>
      <w:r w:rsidR="003A3143" w:rsidRPr="00930FD8">
        <w:rPr>
          <w:rFonts w:asciiTheme="minorHAnsi" w:hAnsiTheme="minorHAnsi" w:cstheme="minorHAnsi"/>
        </w:rPr>
        <w:t>“unprecedented boost to Islamophobia which members of the public now recognize as a legitimate and acceptable form of discrimination.”</w:t>
      </w:r>
      <w:r w:rsidRPr="00930FD8">
        <w:rPr>
          <w:rStyle w:val="FootnoteReference"/>
          <w:rFonts w:asciiTheme="minorHAnsi" w:hAnsiTheme="minorHAnsi" w:cstheme="minorHAnsi"/>
        </w:rPr>
        <w:footnoteReference w:id="58"/>
      </w:r>
    </w:p>
    <w:p w14:paraId="2522171F" w14:textId="77777777" w:rsidR="005C4B6B" w:rsidRPr="00827149" w:rsidRDefault="005C4B6B" w:rsidP="005C4B6B">
      <w:pPr>
        <w:jc w:val="both"/>
        <w:rPr>
          <w:rFonts w:cstheme="minorHAnsi"/>
        </w:rPr>
      </w:pPr>
    </w:p>
    <w:p w14:paraId="27DDCD84" w14:textId="05D20F84" w:rsidR="005C4B6B" w:rsidRPr="00506723" w:rsidRDefault="005C4B6B" w:rsidP="00CF6B8F">
      <w:pPr>
        <w:pStyle w:val="NoSpacing"/>
        <w:jc w:val="both"/>
        <w:rPr>
          <w:rFonts w:asciiTheme="minorHAnsi" w:hAnsiTheme="minorHAnsi" w:cstheme="minorHAnsi"/>
          <w:color w:val="292526"/>
        </w:rPr>
      </w:pPr>
      <w:r w:rsidRPr="00506723">
        <w:rPr>
          <w:rFonts w:asciiTheme="minorHAnsi" w:hAnsiTheme="minorHAnsi" w:cstheme="minorHAnsi"/>
        </w:rPr>
        <w:t>In the immediate aftermath of the London Transport bombings of 7 July 2005, carried out by four apparently well-integrated Muslim men, three of whom were born and raised in Britain,</w:t>
      </w:r>
      <w:r w:rsidRPr="00506723">
        <w:rPr>
          <w:rStyle w:val="FootnoteReference"/>
          <w:rFonts w:asciiTheme="minorHAnsi" w:hAnsiTheme="minorHAnsi" w:cstheme="minorHAnsi"/>
          <w:color w:val="000000" w:themeColor="text1"/>
        </w:rPr>
        <w:footnoteReference w:id="59"/>
      </w:r>
      <w:r w:rsidRPr="00506723">
        <w:rPr>
          <w:rFonts w:asciiTheme="minorHAnsi" w:hAnsiTheme="minorHAnsi" w:cstheme="minorHAnsi"/>
        </w:rPr>
        <w:t xml:space="preserve"> the Blair government established the Preventing Extremism Together Taskforce which brought together a “relatively wide cross section” of Muslim community representatives to advise the government on how to address home grown extremism.</w:t>
      </w:r>
      <w:r w:rsidRPr="00506723">
        <w:rPr>
          <w:rStyle w:val="FootnoteReference"/>
          <w:rFonts w:asciiTheme="minorHAnsi" w:hAnsiTheme="minorHAnsi" w:cstheme="minorHAnsi"/>
          <w:color w:val="000000" w:themeColor="text1"/>
        </w:rPr>
        <w:footnoteReference w:id="60"/>
      </w:r>
      <w:r w:rsidRPr="00506723">
        <w:rPr>
          <w:rFonts w:asciiTheme="minorHAnsi" w:hAnsiTheme="minorHAnsi" w:cstheme="minorHAnsi"/>
        </w:rPr>
        <w:t xml:space="preserve"> The taskforce submitted 64 recommendations to the government in November 2005, at the heart which was the need to tackle issues that adversely impacted Muslim communities around the country including inequality, discrimination, deprivation, and British foreign policy.</w:t>
      </w:r>
      <w:r w:rsidRPr="00506723">
        <w:rPr>
          <w:rStyle w:val="FootnoteReference"/>
          <w:rFonts w:asciiTheme="minorHAnsi" w:hAnsiTheme="minorHAnsi" w:cstheme="minorHAnsi"/>
          <w:color w:val="000000" w:themeColor="text1"/>
        </w:rPr>
        <w:footnoteReference w:id="61"/>
      </w:r>
      <w:r w:rsidRPr="00506723">
        <w:rPr>
          <w:rFonts w:asciiTheme="minorHAnsi" w:hAnsiTheme="minorHAnsi" w:cstheme="minorHAnsi"/>
        </w:rPr>
        <w:t xml:space="preserve"> However, the </w:t>
      </w:r>
      <w:r w:rsidR="003C1757" w:rsidRPr="00506723">
        <w:rPr>
          <w:rFonts w:asciiTheme="minorHAnsi" w:hAnsiTheme="minorHAnsi" w:cstheme="minorHAnsi"/>
        </w:rPr>
        <w:t xml:space="preserve">government </w:t>
      </w:r>
      <w:r w:rsidRPr="00506723">
        <w:rPr>
          <w:rFonts w:asciiTheme="minorHAnsi" w:hAnsiTheme="minorHAnsi" w:cstheme="minorHAnsi"/>
        </w:rPr>
        <w:t>strategy that emerged once more pushed responsibility back on to Muslim communities to take “a leadership stance against sophisticated campaigning and extremist messages.”</w:t>
      </w:r>
      <w:r w:rsidRPr="00506723">
        <w:rPr>
          <w:rStyle w:val="FootnoteReference"/>
          <w:rFonts w:asciiTheme="minorHAnsi" w:hAnsiTheme="minorHAnsi" w:cstheme="minorHAnsi"/>
          <w:color w:val="000000" w:themeColor="text1"/>
        </w:rPr>
        <w:footnoteReference w:id="62"/>
      </w:r>
      <w:r w:rsidRPr="00506723">
        <w:rPr>
          <w:rFonts w:asciiTheme="minorHAnsi" w:hAnsiTheme="minorHAnsi" w:cstheme="minorHAnsi"/>
        </w:rPr>
        <w:t xml:space="preserve"> </w:t>
      </w:r>
      <w:r w:rsidR="00774F43" w:rsidRPr="00506723">
        <w:rPr>
          <w:rFonts w:asciiTheme="minorHAnsi" w:hAnsiTheme="minorHAnsi" w:cstheme="minorHAnsi"/>
        </w:rPr>
        <w:t xml:space="preserve">Furthermore, prompted by a series of riots </w:t>
      </w:r>
      <w:r w:rsidR="003C1757" w:rsidRPr="00506723">
        <w:rPr>
          <w:rFonts w:asciiTheme="minorHAnsi" w:hAnsiTheme="minorHAnsi" w:cstheme="minorHAnsi"/>
        </w:rPr>
        <w:t xml:space="preserve">fueled by tensions between white and Asian youths </w:t>
      </w:r>
      <w:r w:rsidR="00774F43" w:rsidRPr="00506723">
        <w:rPr>
          <w:rFonts w:asciiTheme="minorHAnsi" w:hAnsiTheme="minorHAnsi" w:cstheme="minorHAnsi"/>
        </w:rPr>
        <w:t xml:space="preserve">that occurred across </w:t>
      </w:r>
      <w:r w:rsidR="00710C51">
        <w:rPr>
          <w:rFonts w:asciiTheme="minorHAnsi" w:hAnsiTheme="minorHAnsi" w:cstheme="minorHAnsi"/>
        </w:rPr>
        <w:t xml:space="preserve">multiethnic communities in </w:t>
      </w:r>
      <w:r w:rsidR="00774F43" w:rsidRPr="00506723">
        <w:rPr>
          <w:rFonts w:asciiTheme="minorHAnsi" w:hAnsiTheme="minorHAnsi" w:cstheme="minorHAnsi"/>
        </w:rPr>
        <w:t>Northern England</w:t>
      </w:r>
      <w:r w:rsidR="00710C51">
        <w:rPr>
          <w:rFonts w:asciiTheme="minorHAnsi" w:hAnsiTheme="minorHAnsi" w:cstheme="minorHAnsi"/>
        </w:rPr>
        <w:t>,</w:t>
      </w:r>
      <w:r w:rsidR="00774F43" w:rsidRPr="00506723">
        <w:rPr>
          <w:rFonts w:asciiTheme="minorHAnsi" w:hAnsiTheme="minorHAnsi" w:cstheme="minorHAnsi"/>
        </w:rPr>
        <w:t xml:space="preserve"> </w:t>
      </w:r>
      <w:r w:rsidR="00710C51">
        <w:rPr>
          <w:rFonts w:asciiTheme="minorHAnsi" w:hAnsiTheme="minorHAnsi" w:cstheme="minorHAnsi"/>
        </w:rPr>
        <w:t>like Oldham and Bradford, over the summer of</w:t>
      </w:r>
      <w:r w:rsidR="00774F43" w:rsidRPr="00506723">
        <w:rPr>
          <w:rFonts w:asciiTheme="minorHAnsi" w:hAnsiTheme="minorHAnsi" w:cstheme="minorHAnsi"/>
        </w:rPr>
        <w:t xml:space="preserve"> 2001</w:t>
      </w:r>
      <w:r w:rsidR="003C1757" w:rsidRPr="00506723">
        <w:rPr>
          <w:rFonts w:asciiTheme="minorHAnsi" w:hAnsiTheme="minorHAnsi" w:cstheme="minorHAnsi"/>
        </w:rPr>
        <w:t>,</w:t>
      </w:r>
      <w:r w:rsidR="00774F43" w:rsidRPr="00506723">
        <w:rPr>
          <w:rFonts w:asciiTheme="minorHAnsi" w:hAnsiTheme="minorHAnsi" w:cstheme="minorHAnsi"/>
        </w:rPr>
        <w:t xml:space="preserve"> </w:t>
      </w:r>
      <w:proofErr w:type="spellStart"/>
      <w:r w:rsidR="00774F43" w:rsidRPr="00506723">
        <w:rPr>
          <w:rFonts w:asciiTheme="minorHAnsi" w:hAnsiTheme="minorHAnsi" w:cstheme="minorHAnsi"/>
        </w:rPr>
        <w:t>Labour</w:t>
      </w:r>
      <w:proofErr w:type="spellEnd"/>
      <w:r w:rsidR="00774F43" w:rsidRPr="00506723">
        <w:rPr>
          <w:rFonts w:asciiTheme="minorHAnsi" w:hAnsiTheme="minorHAnsi" w:cstheme="minorHAnsi"/>
        </w:rPr>
        <w:t xml:space="preserve"> ministers had </w:t>
      </w:r>
      <w:r w:rsidR="00506723">
        <w:rPr>
          <w:rFonts w:asciiTheme="minorHAnsi" w:hAnsiTheme="minorHAnsi" w:cstheme="minorHAnsi"/>
        </w:rPr>
        <w:t xml:space="preserve">already </w:t>
      </w:r>
      <w:r w:rsidR="00710C51">
        <w:rPr>
          <w:rFonts w:asciiTheme="minorHAnsi" w:hAnsiTheme="minorHAnsi" w:cstheme="minorHAnsi"/>
        </w:rPr>
        <w:t>become interested</w:t>
      </w:r>
      <w:r w:rsidR="00774F43" w:rsidRPr="00506723">
        <w:rPr>
          <w:rFonts w:asciiTheme="minorHAnsi" w:hAnsiTheme="minorHAnsi" w:cstheme="minorHAnsi"/>
        </w:rPr>
        <w:t xml:space="preserve"> </w:t>
      </w:r>
      <w:r w:rsidR="00710C51">
        <w:rPr>
          <w:rFonts w:asciiTheme="minorHAnsi" w:hAnsiTheme="minorHAnsi" w:cstheme="minorHAnsi"/>
        </w:rPr>
        <w:t>i</w:t>
      </w:r>
      <w:r w:rsidR="00774F43" w:rsidRPr="00506723">
        <w:rPr>
          <w:rFonts w:asciiTheme="minorHAnsi" w:hAnsiTheme="minorHAnsi" w:cstheme="minorHAnsi"/>
        </w:rPr>
        <w:t xml:space="preserve">n promoting community cohesion by </w:t>
      </w:r>
      <w:r w:rsidR="003C1757" w:rsidRPr="00506723">
        <w:rPr>
          <w:rFonts w:asciiTheme="minorHAnsi" w:hAnsiTheme="minorHAnsi" w:cstheme="minorHAnsi"/>
        </w:rPr>
        <w:t xml:space="preserve">emphasizing shared values. </w:t>
      </w:r>
      <w:r w:rsidR="00506723">
        <w:rPr>
          <w:rFonts w:asciiTheme="minorHAnsi" w:hAnsiTheme="minorHAnsi" w:cstheme="minorHAnsi"/>
        </w:rPr>
        <w:t>After the London Transport bombings</w:t>
      </w:r>
      <w:r w:rsidR="003C1757" w:rsidRPr="00506723">
        <w:rPr>
          <w:rFonts w:asciiTheme="minorHAnsi" w:hAnsiTheme="minorHAnsi" w:cstheme="minorHAnsi"/>
        </w:rPr>
        <w:t>, this policy initiative was also coopted by the Prevent strategy</w:t>
      </w:r>
      <w:r w:rsidR="00EE0EC2" w:rsidRPr="00506723">
        <w:rPr>
          <w:rFonts w:asciiTheme="minorHAnsi" w:hAnsiTheme="minorHAnsi" w:cstheme="minorHAnsi"/>
        </w:rPr>
        <w:t xml:space="preserve">, and </w:t>
      </w:r>
      <w:r w:rsidR="00506723">
        <w:rPr>
          <w:rFonts w:asciiTheme="minorHAnsi" w:hAnsiTheme="minorHAnsi" w:cstheme="minorHAnsi"/>
        </w:rPr>
        <w:t>statements about “</w:t>
      </w:r>
      <w:r w:rsidR="00EE0EC2" w:rsidRPr="00506723">
        <w:rPr>
          <w:rFonts w:asciiTheme="minorHAnsi" w:hAnsiTheme="minorHAnsi" w:cstheme="minorHAnsi"/>
        </w:rPr>
        <w:t>shared values</w:t>
      </w:r>
      <w:r w:rsidR="00506723">
        <w:rPr>
          <w:rFonts w:asciiTheme="minorHAnsi" w:hAnsiTheme="minorHAnsi" w:cstheme="minorHAnsi"/>
        </w:rPr>
        <w:t>”</w:t>
      </w:r>
      <w:r w:rsidR="00EE0EC2" w:rsidRPr="00506723">
        <w:rPr>
          <w:rFonts w:asciiTheme="minorHAnsi" w:hAnsiTheme="minorHAnsi" w:cstheme="minorHAnsi"/>
        </w:rPr>
        <w:t xml:space="preserve"> w</w:t>
      </w:r>
      <w:r w:rsidR="00506723">
        <w:rPr>
          <w:rFonts w:asciiTheme="minorHAnsi" w:hAnsiTheme="minorHAnsi" w:cstheme="minorHAnsi"/>
        </w:rPr>
        <w:t>ere</w:t>
      </w:r>
      <w:r w:rsidR="00EE0EC2" w:rsidRPr="00506723">
        <w:rPr>
          <w:rFonts w:asciiTheme="minorHAnsi" w:hAnsiTheme="minorHAnsi" w:cstheme="minorHAnsi"/>
        </w:rPr>
        <w:t xml:space="preserve"> increasingly accompanied, or even </w:t>
      </w:r>
      <w:r w:rsidR="00EE0EC2" w:rsidRPr="00506723">
        <w:rPr>
          <w:rFonts w:asciiTheme="minorHAnsi" w:hAnsiTheme="minorHAnsi" w:cstheme="minorHAnsi"/>
        </w:rPr>
        <w:lastRenderedPageBreak/>
        <w:t>replaced, in public discourse with the term  “Britishness”</w:t>
      </w:r>
      <w:r w:rsidR="003C1757" w:rsidRPr="00506723">
        <w:rPr>
          <w:rFonts w:asciiTheme="minorHAnsi" w:hAnsiTheme="minorHAnsi" w:cstheme="minorHAnsi"/>
        </w:rPr>
        <w:t>.</w:t>
      </w:r>
      <w:r w:rsidR="003C1757" w:rsidRPr="00506723">
        <w:rPr>
          <w:rStyle w:val="FootnoteReference"/>
          <w:rFonts w:asciiTheme="minorHAnsi" w:hAnsiTheme="minorHAnsi" w:cstheme="minorHAnsi"/>
          <w:color w:val="000000" w:themeColor="text1"/>
        </w:rPr>
        <w:footnoteReference w:id="63"/>
      </w:r>
      <w:r w:rsidR="003C1757" w:rsidRPr="00506723">
        <w:rPr>
          <w:rFonts w:asciiTheme="minorHAnsi" w:hAnsiTheme="minorHAnsi" w:cstheme="minorHAnsi"/>
        </w:rPr>
        <w:t xml:space="preserve"> </w:t>
      </w:r>
      <w:r w:rsidR="006F2672" w:rsidRPr="00506723">
        <w:rPr>
          <w:rFonts w:asciiTheme="minorHAnsi" w:hAnsiTheme="minorHAnsi" w:cstheme="minorHAnsi"/>
        </w:rPr>
        <w:t>However, rather than bringing communities together</w:t>
      </w:r>
      <w:r w:rsidR="00506723" w:rsidRPr="00506723">
        <w:rPr>
          <w:rFonts w:asciiTheme="minorHAnsi" w:hAnsiTheme="minorHAnsi" w:cstheme="minorHAnsi"/>
        </w:rPr>
        <w:t>, this had the reverse effect</w:t>
      </w:r>
      <w:r w:rsidR="004A1FC1">
        <w:rPr>
          <w:rFonts w:asciiTheme="minorHAnsi" w:hAnsiTheme="minorHAnsi" w:cstheme="minorHAnsi"/>
        </w:rPr>
        <w:t>.</w:t>
      </w:r>
      <w:r w:rsidR="00506723" w:rsidRPr="00506723">
        <w:rPr>
          <w:rFonts w:asciiTheme="minorHAnsi" w:hAnsiTheme="minorHAnsi" w:cstheme="minorHAnsi"/>
        </w:rPr>
        <w:t xml:space="preserve"> </w:t>
      </w:r>
      <w:r w:rsidR="004A1FC1">
        <w:rPr>
          <w:rFonts w:asciiTheme="minorHAnsi" w:hAnsiTheme="minorHAnsi" w:cstheme="minorHAnsi"/>
        </w:rPr>
        <w:t>A</w:t>
      </w:r>
      <w:r w:rsidR="00506723" w:rsidRPr="00506723">
        <w:rPr>
          <w:rFonts w:asciiTheme="minorHAnsi" w:hAnsiTheme="minorHAnsi" w:cstheme="minorHAnsi"/>
        </w:rPr>
        <w:t>s one</w:t>
      </w:r>
      <w:r w:rsidR="00827149" w:rsidRPr="00506723">
        <w:rPr>
          <w:rFonts w:asciiTheme="minorHAnsi" w:eastAsia="Times New Roman" w:hAnsiTheme="minorHAnsi" w:cstheme="minorHAnsi"/>
          <w:color w:val="0B0C0C"/>
        </w:rPr>
        <w:t xml:space="preserve"> youth service manager in London told researchers from the Institute of Race Relations: “The push for Britishness causes alienation. We become the ‘other’. We need to be studied, managed, contained. Every conference we go to on Prevent frames things this way.”</w:t>
      </w:r>
      <w:r w:rsidR="00827149" w:rsidRPr="00506723">
        <w:rPr>
          <w:rStyle w:val="FootnoteReference"/>
          <w:rFonts w:asciiTheme="minorHAnsi" w:eastAsia="Times New Roman" w:hAnsiTheme="minorHAnsi" w:cstheme="minorHAnsi"/>
          <w:color w:val="0B0C0C"/>
        </w:rPr>
        <w:footnoteReference w:id="64"/>
      </w:r>
      <w:r w:rsidR="00827149" w:rsidRPr="00506723">
        <w:rPr>
          <w:rFonts w:asciiTheme="minorHAnsi" w:eastAsia="Times New Roman" w:hAnsiTheme="minorHAnsi" w:cstheme="minorHAnsi"/>
          <w:color w:val="0B0C0C"/>
        </w:rPr>
        <w:t xml:space="preserve"> </w:t>
      </w:r>
      <w:r w:rsidR="006F2672" w:rsidRPr="00506723">
        <w:rPr>
          <w:rFonts w:asciiTheme="minorHAnsi" w:eastAsia="Times New Roman" w:hAnsiTheme="minorHAnsi" w:cstheme="minorHAnsi"/>
          <w:color w:val="0B0C0C"/>
        </w:rPr>
        <w:t>It was as if the</w:t>
      </w:r>
      <w:r w:rsidRPr="00506723">
        <w:rPr>
          <w:rFonts w:asciiTheme="minorHAnsi" w:hAnsiTheme="minorHAnsi" w:cstheme="minorHAnsi"/>
        </w:rPr>
        <w:t xml:space="preserve"> government was</w:t>
      </w:r>
      <w:r w:rsidR="006F2672" w:rsidRPr="00506723">
        <w:rPr>
          <w:rFonts w:asciiTheme="minorHAnsi" w:hAnsiTheme="minorHAnsi" w:cstheme="minorHAnsi"/>
        </w:rPr>
        <w:t>,</w:t>
      </w:r>
      <w:r w:rsidRPr="00506723">
        <w:rPr>
          <w:rFonts w:asciiTheme="minorHAnsi" w:hAnsiTheme="minorHAnsi" w:cstheme="minorHAnsi"/>
        </w:rPr>
        <w:t xml:space="preserve"> in effect</w:t>
      </w:r>
      <w:r w:rsidR="006F2672" w:rsidRPr="00506723">
        <w:rPr>
          <w:rFonts w:asciiTheme="minorHAnsi" w:hAnsiTheme="minorHAnsi" w:cstheme="minorHAnsi"/>
        </w:rPr>
        <w:t>,</w:t>
      </w:r>
      <w:r w:rsidRPr="00506723">
        <w:rPr>
          <w:rFonts w:asciiTheme="minorHAnsi" w:hAnsiTheme="minorHAnsi" w:cstheme="minorHAnsi"/>
        </w:rPr>
        <w:t xml:space="preserve"> telling Muslim communities: ‘It’s not us, it’s you’. </w:t>
      </w:r>
    </w:p>
    <w:p w14:paraId="0321FED9" w14:textId="77777777" w:rsidR="005C4B6B" w:rsidRPr="00506723" w:rsidRDefault="005C4B6B" w:rsidP="005C4B6B">
      <w:pPr>
        <w:pStyle w:val="BodyText"/>
        <w:jc w:val="both"/>
        <w:rPr>
          <w:rFonts w:asciiTheme="minorHAnsi" w:hAnsiTheme="minorHAnsi" w:cstheme="minorHAnsi"/>
          <w:sz w:val="24"/>
          <w:szCs w:val="24"/>
        </w:rPr>
      </w:pPr>
    </w:p>
    <w:p w14:paraId="7F209D01" w14:textId="7F586B47" w:rsidR="00CE052C" w:rsidRDefault="00541C57" w:rsidP="005C4B6B">
      <w:pPr>
        <w:pStyle w:val="BodyText"/>
        <w:jc w:val="both"/>
        <w:rPr>
          <w:rFonts w:asciiTheme="minorHAnsi" w:hAnsiTheme="minorHAnsi" w:cstheme="minorHAnsi"/>
          <w:sz w:val="24"/>
          <w:szCs w:val="24"/>
        </w:rPr>
      </w:pPr>
      <w:r>
        <w:rPr>
          <w:rFonts w:asciiTheme="minorHAnsi" w:eastAsia="Times New Roman" w:hAnsiTheme="minorHAnsi" w:cstheme="minorHAnsi"/>
          <w:color w:val="0B0C0C"/>
          <w:sz w:val="24"/>
          <w:szCs w:val="24"/>
        </w:rPr>
        <w:t xml:space="preserve">Unfortunately, it seems that </w:t>
      </w:r>
      <w:r w:rsidR="00CE052C">
        <w:rPr>
          <w:rFonts w:asciiTheme="minorHAnsi" w:eastAsia="Times New Roman" w:hAnsiTheme="minorHAnsi" w:cstheme="minorHAnsi"/>
          <w:color w:val="0B0C0C"/>
          <w:sz w:val="24"/>
          <w:szCs w:val="24"/>
        </w:rPr>
        <w:t>it was this</w:t>
      </w:r>
      <w:r>
        <w:rPr>
          <w:rFonts w:asciiTheme="minorHAnsi" w:eastAsia="Times New Roman" w:hAnsiTheme="minorHAnsi" w:cstheme="minorHAnsi"/>
          <w:color w:val="0B0C0C"/>
          <w:sz w:val="24"/>
          <w:szCs w:val="24"/>
        </w:rPr>
        <w:t xml:space="preserve"> </w:t>
      </w:r>
      <w:r w:rsidR="00491DB2">
        <w:rPr>
          <w:rFonts w:asciiTheme="minorHAnsi" w:eastAsia="Times New Roman" w:hAnsiTheme="minorHAnsi" w:cstheme="minorHAnsi"/>
          <w:color w:val="0B0C0C"/>
          <w:sz w:val="24"/>
          <w:szCs w:val="24"/>
        </w:rPr>
        <w:t xml:space="preserve">unintended </w:t>
      </w:r>
      <w:r>
        <w:rPr>
          <w:rFonts w:asciiTheme="minorHAnsi" w:eastAsia="Times New Roman" w:hAnsiTheme="minorHAnsi" w:cstheme="minorHAnsi"/>
          <w:color w:val="0B0C0C"/>
          <w:sz w:val="24"/>
          <w:szCs w:val="24"/>
        </w:rPr>
        <w:t xml:space="preserve">message </w:t>
      </w:r>
      <w:r w:rsidR="00CE052C">
        <w:rPr>
          <w:rFonts w:asciiTheme="minorHAnsi" w:eastAsia="Times New Roman" w:hAnsiTheme="minorHAnsi" w:cstheme="minorHAnsi"/>
          <w:color w:val="0B0C0C"/>
          <w:sz w:val="24"/>
          <w:szCs w:val="24"/>
        </w:rPr>
        <w:t xml:space="preserve">that </w:t>
      </w:r>
      <w:r>
        <w:rPr>
          <w:rFonts w:asciiTheme="minorHAnsi" w:eastAsia="Times New Roman" w:hAnsiTheme="minorHAnsi" w:cstheme="minorHAnsi"/>
          <w:color w:val="0B0C0C"/>
          <w:sz w:val="24"/>
          <w:szCs w:val="24"/>
        </w:rPr>
        <w:t xml:space="preserve">was received </w:t>
      </w:r>
      <w:r w:rsidR="00AD7D75">
        <w:rPr>
          <w:rFonts w:asciiTheme="minorHAnsi" w:eastAsia="Times New Roman" w:hAnsiTheme="minorHAnsi" w:cstheme="minorHAnsi"/>
          <w:color w:val="0B0C0C"/>
          <w:sz w:val="24"/>
          <w:szCs w:val="24"/>
        </w:rPr>
        <w:t>most</w:t>
      </w:r>
      <w:r>
        <w:rPr>
          <w:rFonts w:asciiTheme="minorHAnsi" w:eastAsia="Times New Roman" w:hAnsiTheme="minorHAnsi" w:cstheme="minorHAnsi"/>
          <w:color w:val="0B0C0C"/>
          <w:sz w:val="24"/>
          <w:szCs w:val="24"/>
        </w:rPr>
        <w:t xml:space="preserve"> clear</w:t>
      </w:r>
      <w:r w:rsidR="00AD7D75">
        <w:rPr>
          <w:rFonts w:asciiTheme="minorHAnsi" w:eastAsia="Times New Roman" w:hAnsiTheme="minorHAnsi" w:cstheme="minorHAnsi"/>
          <w:color w:val="0B0C0C"/>
          <w:sz w:val="24"/>
          <w:szCs w:val="24"/>
        </w:rPr>
        <w:t>ly</w:t>
      </w:r>
      <w:r w:rsidR="00CE052C">
        <w:rPr>
          <w:rFonts w:asciiTheme="minorHAnsi" w:eastAsia="Times New Roman" w:hAnsiTheme="minorHAnsi" w:cstheme="minorHAnsi"/>
          <w:color w:val="0B0C0C"/>
          <w:sz w:val="24"/>
          <w:szCs w:val="24"/>
        </w:rPr>
        <w:t xml:space="preserve"> by minority communities</w:t>
      </w:r>
      <w:r>
        <w:rPr>
          <w:rFonts w:asciiTheme="minorHAnsi" w:eastAsia="Times New Roman" w:hAnsiTheme="minorHAnsi" w:cstheme="minorHAnsi"/>
          <w:color w:val="0B0C0C"/>
          <w:sz w:val="24"/>
          <w:szCs w:val="24"/>
        </w:rPr>
        <w:t xml:space="preserve">. </w:t>
      </w:r>
      <w:r w:rsidR="009B55B2">
        <w:rPr>
          <w:rFonts w:asciiTheme="minorHAnsi" w:eastAsia="Times New Roman" w:hAnsiTheme="minorHAnsi" w:cstheme="minorHAnsi"/>
          <w:color w:val="0B0C0C"/>
          <w:sz w:val="24"/>
          <w:szCs w:val="24"/>
        </w:rPr>
        <w:t>Marie Gillespie, who researched the experiences of British Muslim</w:t>
      </w:r>
      <w:r w:rsidR="00453D4F">
        <w:rPr>
          <w:rFonts w:asciiTheme="minorHAnsi" w:eastAsia="Times New Roman" w:hAnsiTheme="minorHAnsi" w:cstheme="minorHAnsi"/>
          <w:color w:val="0B0C0C"/>
          <w:sz w:val="24"/>
          <w:szCs w:val="24"/>
        </w:rPr>
        <w:t>s</w:t>
      </w:r>
      <w:r w:rsidR="009B55B2">
        <w:rPr>
          <w:rFonts w:asciiTheme="minorHAnsi" w:eastAsia="Times New Roman" w:hAnsiTheme="minorHAnsi" w:cstheme="minorHAnsi"/>
          <w:color w:val="0B0C0C"/>
          <w:sz w:val="24"/>
          <w:szCs w:val="24"/>
        </w:rPr>
        <w:t xml:space="preserve"> in the years after the 9/11 and 7/7 attacks, found that “most interviewees feel that they have become more insecure in recent years and most are more afraid of the consequences of security policy than of terrorism. </w:t>
      </w:r>
      <w:r w:rsidR="009B55B2" w:rsidRPr="009B55B2">
        <w:rPr>
          <w:rFonts w:asciiTheme="minorHAnsi" w:eastAsia="Times New Roman" w:hAnsiTheme="minorHAnsi" w:cstheme="minorHAnsi"/>
          <w:color w:val="0B0C0C"/>
          <w:sz w:val="24"/>
          <w:szCs w:val="24"/>
        </w:rPr>
        <w:t>These include ‘casual’ everyday racism, state surveillance, arrest and detention, creeping militarism and threats to civil rights and traditions of democracy and the rule of law… A large proportion of racialism minorities base their fears on personal experience of stop and search, identity checks and temporary detention.”</w:t>
      </w:r>
      <w:r w:rsidR="009B55B2" w:rsidRPr="009B55B2">
        <w:rPr>
          <w:rStyle w:val="FootnoteReference"/>
          <w:rFonts w:asciiTheme="minorHAnsi" w:eastAsia="Times New Roman" w:hAnsiTheme="minorHAnsi" w:cstheme="minorHAnsi"/>
          <w:color w:val="0B0C0C"/>
          <w:sz w:val="24"/>
          <w:szCs w:val="24"/>
        </w:rPr>
        <w:footnoteReference w:id="65"/>
      </w:r>
      <w:r w:rsidR="009B55B2" w:rsidRPr="009B55B2">
        <w:rPr>
          <w:rFonts w:asciiTheme="minorHAnsi" w:eastAsia="Times New Roman" w:hAnsiTheme="minorHAnsi" w:cstheme="minorHAnsi"/>
          <w:color w:val="0B0C0C"/>
          <w:sz w:val="24"/>
          <w:szCs w:val="24"/>
        </w:rPr>
        <w:t xml:space="preserve"> Lee Jarvis and Michael Lister </w:t>
      </w:r>
      <w:r w:rsidR="009B55B2">
        <w:rPr>
          <w:rFonts w:asciiTheme="minorHAnsi" w:eastAsia="Times New Roman" w:hAnsiTheme="minorHAnsi" w:cstheme="minorHAnsi"/>
          <w:color w:val="0B0C0C"/>
          <w:sz w:val="24"/>
          <w:szCs w:val="24"/>
        </w:rPr>
        <w:t>convened a series of linked</w:t>
      </w:r>
      <w:r w:rsidR="009B55B2" w:rsidRPr="005662CD">
        <w:rPr>
          <w:rFonts w:asciiTheme="minorHAnsi" w:eastAsia="Times New Roman" w:hAnsiTheme="minorHAnsi" w:cstheme="minorHAnsi"/>
          <w:color w:val="0B0C0C"/>
          <w:sz w:val="24"/>
          <w:szCs w:val="24"/>
        </w:rPr>
        <w:t xml:space="preserve"> focus group</w:t>
      </w:r>
      <w:r w:rsidR="009B55B2">
        <w:rPr>
          <w:rFonts w:asciiTheme="minorHAnsi" w:eastAsia="Times New Roman" w:hAnsiTheme="minorHAnsi" w:cstheme="minorHAnsi"/>
          <w:color w:val="0B0C0C"/>
          <w:sz w:val="24"/>
          <w:szCs w:val="24"/>
        </w:rPr>
        <w:t>s to consider</w:t>
      </w:r>
      <w:r w:rsidR="009B55B2" w:rsidRPr="005662CD">
        <w:rPr>
          <w:rFonts w:asciiTheme="minorHAnsi" w:eastAsia="Times New Roman" w:hAnsiTheme="minorHAnsi" w:cstheme="minorHAnsi"/>
          <w:color w:val="0B0C0C"/>
          <w:sz w:val="24"/>
          <w:szCs w:val="24"/>
        </w:rPr>
        <w:t xml:space="preserve"> the impact of anti-terrorism measures </w:t>
      </w:r>
      <w:r w:rsidR="009B55B2">
        <w:rPr>
          <w:rFonts w:asciiTheme="minorHAnsi" w:eastAsia="Times New Roman" w:hAnsiTheme="minorHAnsi" w:cstheme="minorHAnsi"/>
          <w:color w:val="0B0C0C"/>
          <w:sz w:val="24"/>
          <w:szCs w:val="24"/>
        </w:rPr>
        <w:t xml:space="preserve">on minority communities, and </w:t>
      </w:r>
      <w:r w:rsidR="009B55B2" w:rsidRPr="009B55B2">
        <w:rPr>
          <w:rFonts w:asciiTheme="minorHAnsi" w:eastAsia="Times New Roman" w:hAnsiTheme="minorHAnsi" w:cstheme="minorHAnsi"/>
          <w:color w:val="0B0C0C"/>
          <w:sz w:val="24"/>
          <w:szCs w:val="24"/>
        </w:rPr>
        <w:t>similarly found</w:t>
      </w:r>
      <w:r w:rsidR="00657E32">
        <w:rPr>
          <w:rFonts w:asciiTheme="minorHAnsi" w:eastAsia="Times New Roman" w:hAnsiTheme="minorHAnsi" w:cstheme="minorHAnsi"/>
          <w:color w:val="0B0C0C"/>
          <w:sz w:val="24"/>
          <w:szCs w:val="24"/>
        </w:rPr>
        <w:t xml:space="preserve"> that many of their</w:t>
      </w:r>
      <w:r w:rsidR="009B55B2" w:rsidRPr="009B55B2">
        <w:rPr>
          <w:rFonts w:asciiTheme="minorHAnsi" w:eastAsia="Times New Roman" w:hAnsiTheme="minorHAnsi" w:cstheme="minorHAnsi"/>
          <w:color w:val="0B0C0C"/>
          <w:sz w:val="24"/>
          <w:szCs w:val="24"/>
        </w:rPr>
        <w:t xml:space="preserve"> </w:t>
      </w:r>
      <w:r w:rsidR="00657E32">
        <w:rPr>
          <w:rFonts w:asciiTheme="minorHAnsi" w:eastAsia="Times New Roman" w:hAnsiTheme="minorHAnsi" w:cstheme="minorHAnsi"/>
          <w:color w:val="0B0C0C"/>
          <w:sz w:val="24"/>
          <w:szCs w:val="24"/>
        </w:rPr>
        <w:t xml:space="preserve">Black and Asian </w:t>
      </w:r>
      <w:r w:rsidR="009B55B2" w:rsidRPr="009B55B2">
        <w:rPr>
          <w:rFonts w:asciiTheme="minorHAnsi" w:eastAsia="Times New Roman" w:hAnsiTheme="minorHAnsi" w:cstheme="minorHAnsi"/>
          <w:color w:val="0B0C0C"/>
          <w:sz w:val="24"/>
          <w:szCs w:val="24"/>
        </w:rPr>
        <w:t xml:space="preserve">participants </w:t>
      </w:r>
      <w:r w:rsidR="00657E32">
        <w:rPr>
          <w:rFonts w:asciiTheme="minorHAnsi" w:eastAsia="Times New Roman" w:hAnsiTheme="minorHAnsi" w:cstheme="minorHAnsi"/>
          <w:color w:val="0B0C0C"/>
          <w:sz w:val="24"/>
          <w:szCs w:val="24"/>
        </w:rPr>
        <w:t>stated</w:t>
      </w:r>
      <w:r w:rsidR="009B55B2" w:rsidRPr="009B55B2">
        <w:rPr>
          <w:rFonts w:asciiTheme="minorHAnsi" w:eastAsia="Times New Roman" w:hAnsiTheme="minorHAnsi" w:cstheme="minorHAnsi"/>
          <w:color w:val="0B0C0C"/>
          <w:sz w:val="24"/>
          <w:szCs w:val="24"/>
        </w:rPr>
        <w:t xml:space="preserve"> that </w:t>
      </w:r>
      <w:r w:rsidR="00657E32">
        <w:rPr>
          <w:rFonts w:asciiTheme="minorHAnsi" w:eastAsia="Times New Roman" w:hAnsiTheme="minorHAnsi" w:cstheme="minorHAnsi"/>
          <w:color w:val="0B0C0C"/>
          <w:sz w:val="24"/>
          <w:szCs w:val="24"/>
        </w:rPr>
        <w:t>“</w:t>
      </w:r>
      <w:r w:rsidR="009B55B2" w:rsidRPr="009B55B2">
        <w:rPr>
          <w:rFonts w:asciiTheme="minorHAnsi" w:eastAsia="Times New Roman" w:hAnsiTheme="minorHAnsi" w:cstheme="minorHAnsi"/>
          <w:color w:val="0B0C0C"/>
          <w:sz w:val="24"/>
          <w:szCs w:val="24"/>
        </w:rPr>
        <w:t>the pull of terrorist suspicion has made it more difficult for them to identify, and be identified by others, as British”</w:t>
      </w:r>
      <w:r w:rsidR="00657E32">
        <w:rPr>
          <w:rFonts w:asciiTheme="minorHAnsi" w:eastAsia="Times New Roman" w:hAnsiTheme="minorHAnsi" w:cstheme="minorHAnsi"/>
          <w:color w:val="0B0C0C"/>
          <w:sz w:val="24"/>
          <w:szCs w:val="24"/>
        </w:rPr>
        <w:t xml:space="preserve"> and reported “a profound loss of rights… an inability to participate politically and skepticism about meeting citizenship obligations.”</w:t>
      </w:r>
      <w:r w:rsidR="009B55B2" w:rsidRPr="009B55B2">
        <w:rPr>
          <w:rStyle w:val="FootnoteReference"/>
          <w:rFonts w:asciiTheme="minorHAnsi" w:eastAsia="Times New Roman" w:hAnsiTheme="minorHAnsi" w:cstheme="minorHAnsi"/>
          <w:color w:val="0B0C0C"/>
          <w:sz w:val="24"/>
          <w:szCs w:val="24"/>
        </w:rPr>
        <w:footnoteReference w:id="66"/>
      </w:r>
      <w:r w:rsidR="009B55B2" w:rsidRPr="009B55B2">
        <w:rPr>
          <w:rFonts w:asciiTheme="minorHAnsi" w:eastAsia="Times New Roman" w:hAnsiTheme="minorHAnsi" w:cstheme="minorHAnsi"/>
          <w:color w:val="0B0C0C"/>
          <w:sz w:val="24"/>
          <w:szCs w:val="24"/>
        </w:rPr>
        <w:t xml:space="preserve"> Especially troubling in this regard is the fact that the 2011 Prevent Strategy actually identified perceptions of discrimination, experience of racist or religious prejudice, and “a negative view of policing”  as potential risk indicators, creating something of a self-fulfilling prophecy.</w:t>
      </w:r>
      <w:r w:rsidR="009B55B2" w:rsidRPr="009B55B2">
        <w:rPr>
          <w:rStyle w:val="FootnoteReference"/>
          <w:rFonts w:asciiTheme="minorHAnsi" w:eastAsia="Times New Roman" w:hAnsiTheme="minorHAnsi" w:cstheme="minorHAnsi"/>
          <w:color w:val="0B0C0C"/>
          <w:sz w:val="24"/>
          <w:szCs w:val="24"/>
        </w:rPr>
        <w:footnoteReference w:id="67"/>
      </w:r>
      <w:r w:rsidR="009B55B2" w:rsidRPr="009B55B2">
        <w:rPr>
          <w:rFonts w:asciiTheme="minorHAnsi" w:eastAsia="Times New Roman" w:hAnsiTheme="minorHAnsi" w:cstheme="minorHAnsi"/>
          <w:color w:val="0B0C0C"/>
          <w:sz w:val="24"/>
          <w:szCs w:val="24"/>
        </w:rPr>
        <w:t xml:space="preserve"> </w:t>
      </w:r>
      <w:r w:rsidR="009B55B2" w:rsidRPr="009B55B2">
        <w:rPr>
          <w:rFonts w:asciiTheme="minorHAnsi" w:hAnsiTheme="minorHAnsi" w:cstheme="minorHAnsi"/>
          <w:sz w:val="24"/>
          <w:szCs w:val="24"/>
        </w:rPr>
        <w:t xml:space="preserve">As </w:t>
      </w:r>
      <w:r w:rsidR="005C4B6B" w:rsidRPr="009B55B2">
        <w:rPr>
          <w:rFonts w:asciiTheme="minorHAnsi" w:hAnsiTheme="minorHAnsi" w:cstheme="minorHAnsi"/>
          <w:sz w:val="24"/>
          <w:szCs w:val="24"/>
        </w:rPr>
        <w:t xml:space="preserve">Christina </w:t>
      </w:r>
      <w:proofErr w:type="spellStart"/>
      <w:r w:rsidR="005C4B6B" w:rsidRPr="009B55B2">
        <w:rPr>
          <w:rFonts w:asciiTheme="minorHAnsi" w:hAnsiTheme="minorHAnsi" w:cstheme="minorHAnsi"/>
          <w:sz w:val="24"/>
          <w:szCs w:val="24"/>
        </w:rPr>
        <w:t>Pantazis</w:t>
      </w:r>
      <w:proofErr w:type="spellEnd"/>
      <w:r w:rsidR="005C4B6B" w:rsidRPr="009B55B2">
        <w:rPr>
          <w:rFonts w:asciiTheme="minorHAnsi" w:hAnsiTheme="minorHAnsi" w:cstheme="minorHAnsi"/>
          <w:sz w:val="24"/>
          <w:szCs w:val="24"/>
        </w:rPr>
        <w:t xml:space="preserve"> </w:t>
      </w:r>
      <w:r w:rsidR="005C4B6B" w:rsidRPr="00CE052C">
        <w:rPr>
          <w:rFonts w:asciiTheme="minorHAnsi" w:hAnsiTheme="minorHAnsi" w:cstheme="minorHAnsi"/>
          <w:sz w:val="24"/>
          <w:szCs w:val="24"/>
        </w:rPr>
        <w:t>and Simon Pemberton</w:t>
      </w:r>
      <w:r w:rsidR="009B55B2" w:rsidRPr="00CE052C">
        <w:rPr>
          <w:rFonts w:asciiTheme="minorHAnsi" w:hAnsiTheme="minorHAnsi" w:cstheme="minorHAnsi"/>
          <w:sz w:val="24"/>
          <w:szCs w:val="24"/>
        </w:rPr>
        <w:t xml:space="preserve"> have noted</w:t>
      </w:r>
      <w:r w:rsidR="005C4B6B" w:rsidRPr="00CE052C">
        <w:rPr>
          <w:rFonts w:asciiTheme="minorHAnsi" w:hAnsiTheme="minorHAnsi" w:cstheme="minorHAnsi"/>
          <w:sz w:val="24"/>
          <w:szCs w:val="24"/>
        </w:rPr>
        <w:t>: “The demarcation of a specific social group as a suspect community arguably serves to generate fear of this social group amongst wider society.”</w:t>
      </w:r>
      <w:r w:rsidR="005C4B6B" w:rsidRPr="00CE052C">
        <w:rPr>
          <w:rStyle w:val="FootnoteReference"/>
          <w:rFonts w:asciiTheme="minorHAnsi" w:hAnsiTheme="minorHAnsi" w:cstheme="minorHAnsi"/>
          <w:sz w:val="24"/>
          <w:szCs w:val="24"/>
        </w:rPr>
        <w:footnoteReference w:id="68"/>
      </w:r>
      <w:r w:rsidR="005C4B6B" w:rsidRPr="00CE052C">
        <w:rPr>
          <w:rFonts w:asciiTheme="minorHAnsi" w:hAnsiTheme="minorHAnsi" w:cstheme="minorHAnsi"/>
          <w:sz w:val="24"/>
          <w:szCs w:val="24"/>
        </w:rPr>
        <w:t xml:space="preserve"> </w:t>
      </w:r>
    </w:p>
    <w:p w14:paraId="6B7EAF12" w14:textId="77777777" w:rsidR="00CE052C" w:rsidRDefault="00CE052C" w:rsidP="005C4B6B">
      <w:pPr>
        <w:pStyle w:val="BodyText"/>
        <w:jc w:val="both"/>
        <w:rPr>
          <w:rFonts w:asciiTheme="minorHAnsi" w:hAnsiTheme="minorHAnsi" w:cstheme="minorHAnsi"/>
          <w:sz w:val="24"/>
          <w:szCs w:val="24"/>
        </w:rPr>
      </w:pPr>
    </w:p>
    <w:p w14:paraId="7AD961E1" w14:textId="4D2D3C00" w:rsidR="009B46FC" w:rsidRPr="00CE052C" w:rsidRDefault="00CE052C" w:rsidP="005C4B6B">
      <w:pPr>
        <w:pStyle w:val="BodyText"/>
        <w:jc w:val="both"/>
        <w:rPr>
          <w:rFonts w:asciiTheme="minorHAnsi" w:hAnsiTheme="minorHAnsi" w:cstheme="minorHAnsi"/>
          <w:color w:val="231F20"/>
          <w:sz w:val="24"/>
          <w:szCs w:val="24"/>
        </w:rPr>
      </w:pPr>
      <w:r w:rsidRPr="00CE052C">
        <w:rPr>
          <w:rFonts w:asciiTheme="minorHAnsi" w:hAnsiTheme="minorHAnsi" w:cstheme="minorHAnsi"/>
          <w:color w:val="231F20"/>
          <w:sz w:val="24"/>
          <w:szCs w:val="24"/>
        </w:rPr>
        <w:t>After a visit to the U</w:t>
      </w:r>
      <w:r w:rsidR="00AD7D75">
        <w:rPr>
          <w:rFonts w:asciiTheme="minorHAnsi" w:hAnsiTheme="minorHAnsi" w:cstheme="minorHAnsi"/>
          <w:color w:val="231F20"/>
          <w:sz w:val="24"/>
          <w:szCs w:val="24"/>
        </w:rPr>
        <w:t xml:space="preserve">nited </w:t>
      </w:r>
      <w:r w:rsidRPr="00CE052C">
        <w:rPr>
          <w:rFonts w:asciiTheme="minorHAnsi" w:hAnsiTheme="minorHAnsi" w:cstheme="minorHAnsi"/>
          <w:color w:val="231F20"/>
          <w:sz w:val="24"/>
          <w:szCs w:val="24"/>
        </w:rPr>
        <w:t>K</w:t>
      </w:r>
      <w:r w:rsidR="00AD7D75">
        <w:rPr>
          <w:rFonts w:asciiTheme="minorHAnsi" w:hAnsiTheme="minorHAnsi" w:cstheme="minorHAnsi"/>
          <w:color w:val="231F20"/>
          <w:sz w:val="24"/>
          <w:szCs w:val="24"/>
        </w:rPr>
        <w:t>ingdom</w:t>
      </w:r>
      <w:r w:rsidRPr="00CE052C">
        <w:rPr>
          <w:rFonts w:asciiTheme="minorHAnsi" w:hAnsiTheme="minorHAnsi" w:cstheme="minorHAnsi"/>
          <w:color w:val="231F20"/>
          <w:sz w:val="24"/>
          <w:szCs w:val="24"/>
        </w:rPr>
        <w:t xml:space="preserve"> in April 2017, the UN Special Rapporteur on the rights to freedom of peaceful assembly and of association, </w:t>
      </w:r>
      <w:proofErr w:type="spellStart"/>
      <w:r w:rsidRPr="00CE052C">
        <w:rPr>
          <w:rFonts w:asciiTheme="minorHAnsi" w:hAnsiTheme="minorHAnsi" w:cstheme="minorHAnsi"/>
          <w:color w:val="231F20"/>
          <w:sz w:val="24"/>
          <w:szCs w:val="24"/>
        </w:rPr>
        <w:t>Maina</w:t>
      </w:r>
      <w:proofErr w:type="spellEnd"/>
      <w:r w:rsidRPr="00CE052C">
        <w:rPr>
          <w:rFonts w:asciiTheme="minorHAnsi" w:hAnsiTheme="minorHAnsi" w:cstheme="minorHAnsi"/>
          <w:color w:val="231F20"/>
          <w:sz w:val="24"/>
          <w:szCs w:val="24"/>
        </w:rPr>
        <w:t xml:space="preserve"> </w:t>
      </w:r>
      <w:proofErr w:type="spellStart"/>
      <w:r w:rsidRPr="00CE052C">
        <w:rPr>
          <w:rFonts w:asciiTheme="minorHAnsi" w:hAnsiTheme="minorHAnsi" w:cstheme="minorHAnsi"/>
          <w:color w:val="231F20"/>
          <w:sz w:val="24"/>
          <w:szCs w:val="24"/>
        </w:rPr>
        <w:t>Kiai</w:t>
      </w:r>
      <w:proofErr w:type="spellEnd"/>
      <w:r w:rsidRPr="00CE052C">
        <w:rPr>
          <w:rFonts w:asciiTheme="minorHAnsi" w:hAnsiTheme="minorHAnsi" w:cstheme="minorHAnsi"/>
          <w:color w:val="231F20"/>
          <w:sz w:val="24"/>
          <w:szCs w:val="24"/>
        </w:rPr>
        <w:t xml:space="preserve">, expressed concern that, by fostering suspicion and giving little clear direction, </w:t>
      </w:r>
      <w:r w:rsidR="00AD7D75">
        <w:rPr>
          <w:rFonts w:asciiTheme="minorHAnsi" w:hAnsiTheme="minorHAnsi" w:cstheme="minorHAnsi"/>
          <w:color w:val="231F20"/>
          <w:sz w:val="24"/>
          <w:szCs w:val="24"/>
        </w:rPr>
        <w:t>Britain’s</w:t>
      </w:r>
      <w:r w:rsidRPr="00CE052C">
        <w:rPr>
          <w:rFonts w:asciiTheme="minorHAnsi" w:hAnsiTheme="minorHAnsi" w:cstheme="minorHAnsi"/>
          <w:color w:val="231F20"/>
          <w:sz w:val="24"/>
          <w:szCs w:val="24"/>
        </w:rPr>
        <w:t xml:space="preserve"> Prevent </w:t>
      </w:r>
      <w:r w:rsidR="0028606E">
        <w:rPr>
          <w:rFonts w:asciiTheme="minorHAnsi" w:hAnsiTheme="minorHAnsi" w:cstheme="minorHAnsi"/>
          <w:color w:val="231F20"/>
          <w:sz w:val="24"/>
          <w:szCs w:val="24"/>
        </w:rPr>
        <w:t>s</w:t>
      </w:r>
      <w:r w:rsidRPr="00CE052C">
        <w:rPr>
          <w:rFonts w:asciiTheme="minorHAnsi" w:hAnsiTheme="minorHAnsi" w:cstheme="minorHAnsi"/>
          <w:color w:val="231F20"/>
          <w:sz w:val="24"/>
          <w:szCs w:val="24"/>
        </w:rPr>
        <w:t xml:space="preserve">trategy was “having the opposite of its intended </w:t>
      </w:r>
      <w:r w:rsidR="00AD7D75">
        <w:rPr>
          <w:rFonts w:asciiTheme="minorHAnsi" w:hAnsiTheme="minorHAnsi" w:cstheme="minorHAnsi"/>
          <w:color w:val="231F20"/>
          <w:sz w:val="24"/>
          <w:szCs w:val="24"/>
        </w:rPr>
        <w:t>effect -</w:t>
      </w:r>
      <w:r w:rsidRPr="00CE052C">
        <w:rPr>
          <w:rFonts w:asciiTheme="minorHAnsi" w:hAnsiTheme="minorHAnsi" w:cstheme="minorHAnsi"/>
          <w:color w:val="231F20"/>
          <w:sz w:val="24"/>
          <w:szCs w:val="24"/>
        </w:rPr>
        <w:t xml:space="preserve"> by dividing, stigmatizing and alienating segments of the population, Prevent could end up promoting extremism, rather than countering it.”</w:t>
      </w:r>
      <w:r w:rsidRPr="00CE052C">
        <w:rPr>
          <w:rStyle w:val="FootnoteReference"/>
          <w:rFonts w:asciiTheme="minorHAnsi" w:hAnsiTheme="minorHAnsi" w:cstheme="minorHAnsi"/>
          <w:color w:val="231F20"/>
          <w:sz w:val="24"/>
          <w:szCs w:val="24"/>
        </w:rPr>
        <w:footnoteReference w:id="69"/>
      </w:r>
      <w:r>
        <w:rPr>
          <w:rFonts w:asciiTheme="minorHAnsi" w:hAnsiTheme="minorHAnsi" w:cstheme="minorHAnsi"/>
          <w:color w:val="231F20"/>
          <w:sz w:val="24"/>
          <w:szCs w:val="24"/>
        </w:rPr>
        <w:t xml:space="preserve"> </w:t>
      </w:r>
      <w:r w:rsidR="00384106" w:rsidRPr="00CE052C">
        <w:rPr>
          <w:rFonts w:asciiTheme="minorHAnsi" w:hAnsiTheme="minorHAnsi" w:cstheme="minorHAnsi"/>
          <w:sz w:val="24"/>
          <w:szCs w:val="24"/>
        </w:rPr>
        <w:t>E</w:t>
      </w:r>
      <w:r w:rsidR="009B55B2" w:rsidRPr="00CE052C">
        <w:rPr>
          <w:rFonts w:asciiTheme="minorHAnsi" w:hAnsiTheme="minorHAnsi" w:cstheme="minorHAnsi"/>
          <w:sz w:val="24"/>
          <w:szCs w:val="24"/>
        </w:rPr>
        <w:t xml:space="preserve">ach new scandal associated with Channel </w:t>
      </w:r>
      <w:proofErr w:type="spellStart"/>
      <w:r w:rsidR="009B55B2" w:rsidRPr="00CE052C">
        <w:rPr>
          <w:rFonts w:asciiTheme="minorHAnsi" w:hAnsiTheme="minorHAnsi" w:cstheme="minorHAnsi"/>
          <w:sz w:val="24"/>
          <w:szCs w:val="24"/>
        </w:rPr>
        <w:t>programme</w:t>
      </w:r>
      <w:proofErr w:type="spellEnd"/>
      <w:r w:rsidR="009B55B2" w:rsidRPr="00CE052C">
        <w:rPr>
          <w:rFonts w:asciiTheme="minorHAnsi" w:hAnsiTheme="minorHAnsi" w:cstheme="minorHAnsi"/>
          <w:sz w:val="24"/>
          <w:szCs w:val="24"/>
        </w:rPr>
        <w:t xml:space="preserve"> </w:t>
      </w:r>
      <w:r w:rsidR="00657E32" w:rsidRPr="00CE052C">
        <w:rPr>
          <w:rFonts w:asciiTheme="minorHAnsi" w:hAnsiTheme="minorHAnsi" w:cstheme="minorHAnsi"/>
          <w:sz w:val="24"/>
          <w:szCs w:val="24"/>
        </w:rPr>
        <w:t xml:space="preserve">simply served to </w:t>
      </w:r>
      <w:r w:rsidR="00384106" w:rsidRPr="00CE052C">
        <w:rPr>
          <w:rFonts w:asciiTheme="minorHAnsi" w:hAnsiTheme="minorHAnsi" w:cstheme="minorHAnsi"/>
          <w:sz w:val="24"/>
          <w:szCs w:val="24"/>
        </w:rPr>
        <w:t>magnif</w:t>
      </w:r>
      <w:r w:rsidR="00657E32" w:rsidRPr="00CE052C">
        <w:rPr>
          <w:rFonts w:asciiTheme="minorHAnsi" w:hAnsiTheme="minorHAnsi" w:cstheme="minorHAnsi"/>
          <w:sz w:val="24"/>
          <w:szCs w:val="24"/>
        </w:rPr>
        <w:t>y</w:t>
      </w:r>
      <w:r w:rsidR="00384106" w:rsidRPr="00CE052C">
        <w:rPr>
          <w:rFonts w:asciiTheme="minorHAnsi" w:hAnsiTheme="minorHAnsi" w:cstheme="minorHAnsi"/>
          <w:sz w:val="24"/>
          <w:szCs w:val="24"/>
        </w:rPr>
        <w:t xml:space="preserve"> this sense of victimization, while</w:t>
      </w:r>
      <w:r w:rsidR="00657E32" w:rsidRPr="00CE052C">
        <w:rPr>
          <w:rFonts w:asciiTheme="minorHAnsi" w:hAnsiTheme="minorHAnsi" w:cstheme="minorHAnsi"/>
          <w:sz w:val="24"/>
          <w:szCs w:val="24"/>
        </w:rPr>
        <w:t>,</w:t>
      </w:r>
      <w:r w:rsidR="00384106" w:rsidRPr="00CE052C">
        <w:rPr>
          <w:rFonts w:asciiTheme="minorHAnsi" w:hAnsiTheme="minorHAnsi" w:cstheme="minorHAnsi"/>
          <w:sz w:val="24"/>
          <w:szCs w:val="24"/>
        </w:rPr>
        <w:t xml:space="preserve"> </w:t>
      </w:r>
      <w:r w:rsidR="00657E32" w:rsidRPr="00CE052C">
        <w:rPr>
          <w:rFonts w:asciiTheme="minorHAnsi" w:hAnsiTheme="minorHAnsi" w:cstheme="minorHAnsi"/>
          <w:sz w:val="24"/>
          <w:szCs w:val="24"/>
        </w:rPr>
        <w:t xml:space="preserve">at the same time, </w:t>
      </w:r>
      <w:r w:rsidR="00384106" w:rsidRPr="00CE052C">
        <w:rPr>
          <w:rFonts w:asciiTheme="minorHAnsi" w:hAnsiTheme="minorHAnsi" w:cstheme="minorHAnsi"/>
          <w:sz w:val="24"/>
          <w:szCs w:val="24"/>
        </w:rPr>
        <w:t xml:space="preserve">government defensiveness led to the dismissal of community concerns </w:t>
      </w:r>
      <w:r w:rsidR="009B55B2" w:rsidRPr="00CE052C">
        <w:rPr>
          <w:rFonts w:asciiTheme="minorHAnsi" w:hAnsiTheme="minorHAnsi" w:cstheme="minorHAnsi"/>
          <w:sz w:val="24"/>
          <w:szCs w:val="24"/>
        </w:rPr>
        <w:t xml:space="preserve">by government spokespersons. </w:t>
      </w:r>
      <w:r>
        <w:rPr>
          <w:rFonts w:asciiTheme="minorHAnsi" w:hAnsiTheme="minorHAnsi" w:cstheme="minorHAnsi"/>
          <w:sz w:val="24"/>
          <w:szCs w:val="24"/>
        </w:rPr>
        <w:t>A</w:t>
      </w:r>
      <w:r w:rsidRPr="00CE052C">
        <w:rPr>
          <w:rFonts w:asciiTheme="minorHAnsi" w:hAnsiTheme="minorHAnsi" w:cstheme="minorHAnsi"/>
          <w:sz w:val="24"/>
          <w:szCs w:val="24"/>
        </w:rPr>
        <w:t xml:space="preserve"> vicious circle of cause and effect </w:t>
      </w:r>
      <w:r w:rsidR="00AD7D75">
        <w:rPr>
          <w:rFonts w:asciiTheme="minorHAnsi" w:hAnsiTheme="minorHAnsi" w:cstheme="minorHAnsi"/>
          <w:sz w:val="24"/>
          <w:szCs w:val="24"/>
        </w:rPr>
        <w:t>had been</w:t>
      </w:r>
      <w:r w:rsidRPr="00CE052C">
        <w:rPr>
          <w:rFonts w:asciiTheme="minorHAnsi" w:hAnsiTheme="minorHAnsi" w:cstheme="minorHAnsi"/>
          <w:sz w:val="24"/>
          <w:szCs w:val="24"/>
        </w:rPr>
        <w:t xml:space="preserve"> created, widening divisions, accentuating differences, and </w:t>
      </w:r>
      <w:r w:rsidR="002F738C">
        <w:rPr>
          <w:rFonts w:asciiTheme="minorHAnsi" w:hAnsiTheme="minorHAnsi" w:cstheme="minorHAnsi"/>
          <w:sz w:val="24"/>
          <w:szCs w:val="24"/>
        </w:rPr>
        <w:t xml:space="preserve">actually </w:t>
      </w:r>
      <w:r w:rsidRPr="00CE052C">
        <w:rPr>
          <w:rFonts w:asciiTheme="minorHAnsi" w:hAnsiTheme="minorHAnsi" w:cstheme="minorHAnsi"/>
          <w:sz w:val="24"/>
          <w:szCs w:val="24"/>
        </w:rPr>
        <w:t xml:space="preserve">undermining community cohesion. </w:t>
      </w:r>
      <w:r w:rsidR="005C4B6B" w:rsidRPr="00CE052C">
        <w:rPr>
          <w:rFonts w:asciiTheme="minorHAnsi" w:eastAsia="Times New Roman" w:hAnsiTheme="minorHAnsi" w:cstheme="minorHAnsi"/>
          <w:color w:val="121212"/>
          <w:sz w:val="24"/>
          <w:szCs w:val="24"/>
          <w:shd w:val="clear" w:color="auto" w:fill="FFFFFF"/>
        </w:rPr>
        <w:t xml:space="preserve">Dr Layla </w:t>
      </w:r>
      <w:proofErr w:type="spellStart"/>
      <w:r w:rsidR="005C4B6B" w:rsidRPr="00CE052C">
        <w:rPr>
          <w:rFonts w:asciiTheme="minorHAnsi" w:eastAsia="Times New Roman" w:hAnsiTheme="minorHAnsi" w:cstheme="minorHAnsi"/>
          <w:color w:val="121212"/>
          <w:sz w:val="24"/>
          <w:szCs w:val="24"/>
          <w:shd w:val="clear" w:color="auto" w:fill="FFFFFF"/>
        </w:rPr>
        <w:t>Aitlhadj</w:t>
      </w:r>
      <w:proofErr w:type="spellEnd"/>
      <w:r w:rsidR="005C4B6B" w:rsidRPr="00CE052C">
        <w:rPr>
          <w:rFonts w:asciiTheme="minorHAnsi" w:eastAsia="Times New Roman" w:hAnsiTheme="minorHAnsi" w:cstheme="minorHAnsi"/>
          <w:color w:val="121212"/>
          <w:sz w:val="24"/>
          <w:szCs w:val="24"/>
          <w:shd w:val="clear" w:color="auto" w:fill="FFFFFF"/>
        </w:rPr>
        <w:t xml:space="preserve">, the </w:t>
      </w:r>
      <w:r w:rsidR="00384106" w:rsidRPr="00CE052C">
        <w:rPr>
          <w:rFonts w:asciiTheme="minorHAnsi" w:eastAsia="Times New Roman" w:hAnsiTheme="minorHAnsi" w:cstheme="minorHAnsi"/>
          <w:color w:val="121212"/>
          <w:sz w:val="24"/>
          <w:szCs w:val="24"/>
          <w:shd w:val="clear" w:color="auto" w:fill="FFFFFF"/>
        </w:rPr>
        <w:t>D</w:t>
      </w:r>
      <w:r w:rsidR="005C4B6B" w:rsidRPr="00CE052C">
        <w:rPr>
          <w:rFonts w:asciiTheme="minorHAnsi" w:eastAsia="Times New Roman" w:hAnsiTheme="minorHAnsi" w:cstheme="minorHAnsi"/>
          <w:color w:val="121212"/>
          <w:sz w:val="24"/>
          <w:szCs w:val="24"/>
          <w:shd w:val="clear" w:color="auto" w:fill="FFFFFF"/>
        </w:rPr>
        <w:t xml:space="preserve">irector of Prevent Watch, </w:t>
      </w:r>
      <w:r w:rsidR="00384106" w:rsidRPr="00CE052C">
        <w:rPr>
          <w:rFonts w:asciiTheme="minorHAnsi" w:eastAsia="Times New Roman" w:hAnsiTheme="minorHAnsi" w:cstheme="minorHAnsi"/>
          <w:color w:val="121212"/>
          <w:sz w:val="24"/>
          <w:szCs w:val="24"/>
          <w:shd w:val="clear" w:color="auto" w:fill="FFFFFF"/>
        </w:rPr>
        <w:t>told reporters</w:t>
      </w:r>
      <w:r>
        <w:rPr>
          <w:rFonts w:asciiTheme="minorHAnsi" w:eastAsia="Times New Roman" w:hAnsiTheme="minorHAnsi" w:cstheme="minorHAnsi"/>
          <w:color w:val="121212"/>
          <w:sz w:val="24"/>
          <w:szCs w:val="24"/>
          <w:shd w:val="clear" w:color="auto" w:fill="FFFFFF"/>
        </w:rPr>
        <w:t xml:space="preserve"> in June </w:t>
      </w:r>
      <w:r>
        <w:rPr>
          <w:rFonts w:asciiTheme="minorHAnsi" w:eastAsia="Times New Roman" w:hAnsiTheme="minorHAnsi" w:cstheme="minorHAnsi"/>
          <w:color w:val="121212"/>
          <w:sz w:val="24"/>
          <w:szCs w:val="24"/>
          <w:shd w:val="clear" w:color="auto" w:fill="FFFFFF"/>
        </w:rPr>
        <w:lastRenderedPageBreak/>
        <w:t>2021</w:t>
      </w:r>
      <w:r w:rsidR="005C4B6B" w:rsidRPr="00CE052C">
        <w:rPr>
          <w:rFonts w:asciiTheme="minorHAnsi" w:eastAsia="Times New Roman" w:hAnsiTheme="minorHAnsi" w:cstheme="minorHAnsi"/>
          <w:color w:val="121212"/>
          <w:sz w:val="24"/>
          <w:szCs w:val="24"/>
          <w:shd w:val="clear" w:color="auto" w:fill="FFFFFF"/>
        </w:rPr>
        <w:t>: “Historically, the government response has been to play down such incidents as misapplications and anomalies that can be fixed. However, such cases show quite the opposite</w:t>
      </w:r>
      <w:r w:rsidR="00384106" w:rsidRPr="00CE052C">
        <w:rPr>
          <w:rFonts w:asciiTheme="minorHAnsi" w:eastAsia="Times New Roman" w:hAnsiTheme="minorHAnsi" w:cstheme="minorHAnsi"/>
          <w:color w:val="121212"/>
          <w:sz w:val="24"/>
          <w:szCs w:val="24"/>
          <w:shd w:val="clear" w:color="auto" w:fill="FFFFFF"/>
        </w:rPr>
        <w:t xml:space="preserve"> -</w:t>
      </w:r>
      <w:r w:rsidR="005C4B6B" w:rsidRPr="00CE052C">
        <w:rPr>
          <w:rFonts w:asciiTheme="minorHAnsi" w:eastAsia="Times New Roman" w:hAnsiTheme="minorHAnsi" w:cstheme="minorHAnsi"/>
          <w:color w:val="121212"/>
          <w:sz w:val="24"/>
          <w:szCs w:val="24"/>
          <w:shd w:val="clear" w:color="auto" w:fill="FFFFFF"/>
        </w:rPr>
        <w:t xml:space="preserve"> that Prevent injects suspicion and discrimination deep into the imagination of frontline workers to the detriment of Muslims.”</w:t>
      </w:r>
      <w:r w:rsidR="005C4B6B" w:rsidRPr="00CE052C">
        <w:rPr>
          <w:rStyle w:val="FootnoteReference"/>
          <w:rFonts w:asciiTheme="minorHAnsi" w:eastAsia="Times New Roman" w:hAnsiTheme="minorHAnsi" w:cstheme="minorHAnsi"/>
          <w:color w:val="121212"/>
          <w:sz w:val="24"/>
          <w:szCs w:val="24"/>
          <w:shd w:val="clear" w:color="auto" w:fill="FFFFFF"/>
        </w:rPr>
        <w:footnoteReference w:id="70"/>
      </w:r>
      <w:r w:rsidRPr="00CE052C">
        <w:rPr>
          <w:rFonts w:asciiTheme="minorHAnsi" w:hAnsiTheme="minorHAnsi" w:cstheme="minorHAnsi"/>
          <w:color w:val="231F20"/>
          <w:sz w:val="24"/>
          <w:szCs w:val="24"/>
        </w:rPr>
        <w:t xml:space="preserve"> </w:t>
      </w:r>
    </w:p>
    <w:p w14:paraId="0274F0ED" w14:textId="77777777" w:rsidR="002467F2" w:rsidRPr="008331C4" w:rsidRDefault="002467F2" w:rsidP="002467F2">
      <w:pPr>
        <w:jc w:val="both"/>
        <w:rPr>
          <w:rFonts w:asciiTheme="minorHAnsi" w:hAnsiTheme="minorHAnsi" w:cstheme="minorHAnsi"/>
        </w:rPr>
      </w:pPr>
    </w:p>
    <w:p w14:paraId="5B4B71D6" w14:textId="77777777" w:rsidR="002467F2" w:rsidRPr="008331C4" w:rsidRDefault="002467F2" w:rsidP="002467F2">
      <w:pPr>
        <w:jc w:val="both"/>
        <w:rPr>
          <w:rFonts w:asciiTheme="minorHAnsi" w:hAnsiTheme="minorHAnsi" w:cstheme="minorHAnsi"/>
          <w:i/>
          <w:iCs/>
        </w:rPr>
      </w:pPr>
      <w:r w:rsidRPr="008331C4">
        <w:rPr>
          <w:rFonts w:asciiTheme="minorHAnsi" w:hAnsiTheme="minorHAnsi" w:cstheme="minorHAnsi"/>
          <w:i/>
          <w:iCs/>
        </w:rPr>
        <w:t>Human Rights Concerns</w:t>
      </w:r>
    </w:p>
    <w:p w14:paraId="785B125B" w14:textId="77777777" w:rsidR="002467F2" w:rsidRPr="008331C4" w:rsidRDefault="002467F2" w:rsidP="002467F2">
      <w:pPr>
        <w:jc w:val="both"/>
        <w:rPr>
          <w:rFonts w:asciiTheme="minorHAnsi" w:hAnsiTheme="minorHAnsi" w:cstheme="minorHAnsi"/>
        </w:rPr>
      </w:pPr>
    </w:p>
    <w:p w14:paraId="58DC2850" w14:textId="6501E2FD" w:rsidR="002467F2" w:rsidRPr="008331C4" w:rsidRDefault="001E19FB" w:rsidP="001E19FB">
      <w:pPr>
        <w:pStyle w:val="NoSpacing"/>
        <w:jc w:val="both"/>
        <w:rPr>
          <w:rFonts w:asciiTheme="minorHAnsi" w:hAnsiTheme="minorHAnsi" w:cstheme="minorHAnsi"/>
        </w:rPr>
      </w:pPr>
      <w:r>
        <w:rPr>
          <w:rFonts w:asciiTheme="minorHAnsi" w:hAnsiTheme="minorHAnsi" w:cstheme="minorHAnsi"/>
        </w:rPr>
        <w:t>The</w:t>
      </w:r>
      <w:r w:rsidR="002F738C">
        <w:rPr>
          <w:rFonts w:asciiTheme="minorHAnsi" w:hAnsiTheme="minorHAnsi" w:cstheme="minorHAnsi"/>
        </w:rPr>
        <w:t xml:space="preserve"> United Nations </w:t>
      </w:r>
      <w:r>
        <w:rPr>
          <w:rFonts w:asciiTheme="minorHAnsi" w:hAnsiTheme="minorHAnsi" w:cstheme="minorHAnsi"/>
        </w:rPr>
        <w:t>Human Rights Committee has urged Member States “</w:t>
      </w:r>
      <w:r w:rsidRPr="001E19FB">
        <w:rPr>
          <w:rFonts w:asciiTheme="minorHAnsi" w:hAnsiTheme="minorHAnsi" w:cstheme="minorHAnsi"/>
        </w:rPr>
        <w:t>to ensure that any measures taken to prevent and counter violent extremism comply with all their obligations under international law, in particular international human rights law, international refugee law and international humanitarian law</w:t>
      </w:r>
      <w:r>
        <w:rPr>
          <w:rFonts w:asciiTheme="minorHAnsi" w:hAnsiTheme="minorHAnsi" w:cstheme="minorHAnsi"/>
        </w:rPr>
        <w:t>.”</w:t>
      </w:r>
      <w:r>
        <w:rPr>
          <w:rStyle w:val="FootnoteReference"/>
          <w:rFonts w:asciiTheme="minorHAnsi" w:hAnsiTheme="minorHAnsi" w:cstheme="minorHAnsi"/>
        </w:rPr>
        <w:footnoteReference w:id="71"/>
      </w:r>
      <w:r w:rsidRPr="001E19FB">
        <w:rPr>
          <w:rFonts w:asciiTheme="minorHAnsi" w:hAnsiTheme="minorHAnsi" w:cstheme="minorHAnsi"/>
        </w:rPr>
        <w:t xml:space="preserve"> </w:t>
      </w:r>
      <w:r w:rsidR="004E1577">
        <w:rPr>
          <w:rFonts w:asciiTheme="minorHAnsi" w:hAnsiTheme="minorHAnsi" w:cstheme="minorHAnsi"/>
        </w:rPr>
        <w:t>However, i</w:t>
      </w:r>
      <w:r w:rsidR="002467F2" w:rsidRPr="008331C4">
        <w:rPr>
          <w:rFonts w:asciiTheme="minorHAnsi" w:hAnsiTheme="minorHAnsi" w:cstheme="minorHAnsi"/>
        </w:rPr>
        <w:t xml:space="preserve">f one views the Prevent </w:t>
      </w:r>
      <w:r w:rsidR="00930FD8">
        <w:rPr>
          <w:rFonts w:asciiTheme="minorHAnsi" w:hAnsiTheme="minorHAnsi" w:cstheme="minorHAnsi"/>
        </w:rPr>
        <w:t>strategy</w:t>
      </w:r>
      <w:r w:rsidR="004E1577">
        <w:rPr>
          <w:rFonts w:asciiTheme="minorHAnsi" w:hAnsiTheme="minorHAnsi" w:cstheme="minorHAnsi"/>
        </w:rPr>
        <w:t xml:space="preserve"> </w:t>
      </w:r>
      <w:r w:rsidR="002467F2" w:rsidRPr="008331C4">
        <w:rPr>
          <w:rFonts w:asciiTheme="minorHAnsi" w:hAnsiTheme="minorHAnsi" w:cstheme="minorHAnsi"/>
        </w:rPr>
        <w:t>through a human rights lens a number of</w:t>
      </w:r>
      <w:r w:rsidR="00001CAF" w:rsidRPr="008331C4">
        <w:rPr>
          <w:rFonts w:asciiTheme="minorHAnsi" w:hAnsiTheme="minorHAnsi" w:cstheme="minorHAnsi"/>
        </w:rPr>
        <w:t xml:space="preserve"> further</w:t>
      </w:r>
      <w:r w:rsidR="002467F2" w:rsidRPr="008331C4">
        <w:rPr>
          <w:rFonts w:asciiTheme="minorHAnsi" w:hAnsiTheme="minorHAnsi" w:cstheme="minorHAnsi"/>
        </w:rPr>
        <w:t xml:space="preserve"> troubling issues arise. At a minimum</w:t>
      </w:r>
      <w:r w:rsidR="00453D4F" w:rsidRPr="008331C4">
        <w:rPr>
          <w:rFonts w:asciiTheme="minorHAnsi" w:hAnsiTheme="minorHAnsi" w:cstheme="minorHAnsi"/>
        </w:rPr>
        <w:t xml:space="preserve">, Prevent initiatives could be interpreted as impinging upon </w:t>
      </w:r>
      <w:r w:rsidR="002467F2" w:rsidRPr="008331C4">
        <w:rPr>
          <w:rFonts w:asciiTheme="minorHAnsi" w:hAnsiTheme="minorHAnsi" w:cstheme="minorHAnsi"/>
        </w:rPr>
        <w:t xml:space="preserve">the right to privacy (and to be protected from arbitrary and unlawful attacks on </w:t>
      </w:r>
      <w:r w:rsidR="00453D4F" w:rsidRPr="008331C4">
        <w:rPr>
          <w:rFonts w:asciiTheme="minorHAnsi" w:hAnsiTheme="minorHAnsi" w:cstheme="minorHAnsi"/>
        </w:rPr>
        <w:t>one’s</w:t>
      </w:r>
      <w:r w:rsidR="002467F2" w:rsidRPr="008331C4">
        <w:rPr>
          <w:rFonts w:asciiTheme="minorHAnsi" w:hAnsiTheme="minorHAnsi" w:cstheme="minorHAnsi"/>
        </w:rPr>
        <w:t xml:space="preserve"> </w:t>
      </w:r>
      <w:proofErr w:type="spellStart"/>
      <w:r w:rsidR="002467F2" w:rsidRPr="008331C4">
        <w:rPr>
          <w:rFonts w:asciiTheme="minorHAnsi" w:hAnsiTheme="minorHAnsi" w:cstheme="minorHAnsi"/>
        </w:rPr>
        <w:t>honour</w:t>
      </w:r>
      <w:proofErr w:type="spellEnd"/>
      <w:r w:rsidR="002467F2" w:rsidRPr="008331C4">
        <w:rPr>
          <w:rFonts w:asciiTheme="minorHAnsi" w:hAnsiTheme="minorHAnsi" w:cstheme="minorHAnsi"/>
        </w:rPr>
        <w:t xml:space="preserve"> and reputation)</w:t>
      </w:r>
      <w:r w:rsidR="002F738C">
        <w:rPr>
          <w:rFonts w:asciiTheme="minorHAnsi" w:hAnsiTheme="minorHAnsi" w:cstheme="minorHAnsi"/>
        </w:rPr>
        <w:t>;</w:t>
      </w:r>
      <w:r w:rsidR="002467F2" w:rsidRPr="008331C4">
        <w:rPr>
          <w:rFonts w:asciiTheme="minorHAnsi" w:hAnsiTheme="minorHAnsi" w:cstheme="minorHAnsi"/>
        </w:rPr>
        <w:t xml:space="preserve"> the right to freedom of thought, conscience and religion</w:t>
      </w:r>
      <w:r w:rsidR="002F738C">
        <w:rPr>
          <w:rFonts w:asciiTheme="minorHAnsi" w:hAnsiTheme="minorHAnsi" w:cstheme="minorHAnsi"/>
        </w:rPr>
        <w:t>;</w:t>
      </w:r>
      <w:r w:rsidR="002467F2" w:rsidRPr="008331C4">
        <w:rPr>
          <w:rFonts w:asciiTheme="minorHAnsi" w:hAnsiTheme="minorHAnsi" w:cstheme="minorHAnsi"/>
        </w:rPr>
        <w:t xml:space="preserve"> </w:t>
      </w:r>
      <w:r w:rsidR="009B09A2">
        <w:rPr>
          <w:rFonts w:asciiTheme="minorHAnsi" w:hAnsiTheme="minorHAnsi" w:cstheme="minorHAnsi"/>
        </w:rPr>
        <w:t xml:space="preserve">the right to </w:t>
      </w:r>
      <w:r w:rsidR="002467F2" w:rsidRPr="008331C4">
        <w:rPr>
          <w:rFonts w:asciiTheme="minorHAnsi" w:hAnsiTheme="minorHAnsi" w:cstheme="minorHAnsi"/>
        </w:rPr>
        <w:t xml:space="preserve">freedom of </w:t>
      </w:r>
      <w:r w:rsidR="009B09A2">
        <w:rPr>
          <w:rFonts w:asciiTheme="minorHAnsi" w:hAnsiTheme="minorHAnsi" w:cstheme="minorHAnsi"/>
        </w:rPr>
        <w:t xml:space="preserve">Information, </w:t>
      </w:r>
      <w:r w:rsidR="002467F2" w:rsidRPr="008331C4">
        <w:rPr>
          <w:rFonts w:asciiTheme="minorHAnsi" w:hAnsiTheme="minorHAnsi" w:cstheme="minorHAnsi"/>
        </w:rPr>
        <w:t>opinion</w:t>
      </w:r>
      <w:r w:rsidR="009B09A2">
        <w:rPr>
          <w:rFonts w:asciiTheme="minorHAnsi" w:hAnsiTheme="minorHAnsi" w:cstheme="minorHAnsi"/>
        </w:rPr>
        <w:t xml:space="preserve"> and expression</w:t>
      </w:r>
      <w:r w:rsidR="002F738C">
        <w:rPr>
          <w:rFonts w:asciiTheme="minorHAnsi" w:hAnsiTheme="minorHAnsi" w:cstheme="minorHAnsi"/>
        </w:rPr>
        <w:t>;</w:t>
      </w:r>
      <w:r w:rsidR="002467F2" w:rsidRPr="008331C4">
        <w:rPr>
          <w:rFonts w:asciiTheme="minorHAnsi" w:hAnsiTheme="minorHAnsi" w:cstheme="minorHAnsi"/>
        </w:rPr>
        <w:t xml:space="preserve"> the right to liberty and security of person</w:t>
      </w:r>
      <w:r w:rsidR="002F738C">
        <w:rPr>
          <w:rFonts w:asciiTheme="minorHAnsi" w:hAnsiTheme="minorHAnsi" w:cstheme="minorHAnsi"/>
        </w:rPr>
        <w:t>;</w:t>
      </w:r>
      <w:r w:rsidR="002467F2" w:rsidRPr="008331C4">
        <w:rPr>
          <w:rFonts w:asciiTheme="minorHAnsi" w:hAnsiTheme="minorHAnsi" w:cstheme="minorHAnsi"/>
        </w:rPr>
        <w:t xml:space="preserve"> the right to liberty of movement</w:t>
      </w:r>
      <w:r w:rsidR="002F738C">
        <w:rPr>
          <w:rFonts w:asciiTheme="minorHAnsi" w:hAnsiTheme="minorHAnsi" w:cstheme="minorHAnsi"/>
        </w:rPr>
        <w:t>;</w:t>
      </w:r>
      <w:r w:rsidR="002467F2" w:rsidRPr="008331C4">
        <w:rPr>
          <w:rFonts w:asciiTheme="minorHAnsi" w:hAnsiTheme="minorHAnsi" w:cstheme="minorHAnsi"/>
        </w:rPr>
        <w:t xml:space="preserve"> </w:t>
      </w:r>
      <w:r w:rsidR="009368A4">
        <w:rPr>
          <w:rFonts w:asciiTheme="minorHAnsi" w:hAnsiTheme="minorHAnsi" w:cstheme="minorHAnsi"/>
        </w:rPr>
        <w:t>the right to family life</w:t>
      </w:r>
      <w:r w:rsidR="002F738C">
        <w:rPr>
          <w:rFonts w:asciiTheme="minorHAnsi" w:hAnsiTheme="minorHAnsi" w:cstheme="minorHAnsi"/>
        </w:rPr>
        <w:t>;</w:t>
      </w:r>
      <w:r w:rsidR="009368A4">
        <w:rPr>
          <w:rStyle w:val="FootnoteReference"/>
          <w:rFonts w:asciiTheme="minorHAnsi" w:hAnsiTheme="minorHAnsi" w:cstheme="minorHAnsi"/>
        </w:rPr>
        <w:footnoteReference w:id="72"/>
      </w:r>
      <w:r w:rsidR="009368A4">
        <w:rPr>
          <w:rFonts w:asciiTheme="minorHAnsi" w:hAnsiTheme="minorHAnsi" w:cstheme="minorHAnsi"/>
        </w:rPr>
        <w:t xml:space="preserve"> </w:t>
      </w:r>
      <w:r w:rsidR="002467F2" w:rsidRPr="008331C4">
        <w:rPr>
          <w:rFonts w:asciiTheme="minorHAnsi" w:hAnsiTheme="minorHAnsi" w:cstheme="minorHAnsi"/>
        </w:rPr>
        <w:t>the right to take part in public affairs</w:t>
      </w:r>
      <w:r w:rsidR="002F738C">
        <w:rPr>
          <w:rFonts w:asciiTheme="minorHAnsi" w:hAnsiTheme="minorHAnsi" w:cstheme="minorHAnsi"/>
        </w:rPr>
        <w:t>;</w:t>
      </w:r>
      <w:r w:rsidR="002467F2" w:rsidRPr="008331C4">
        <w:rPr>
          <w:rFonts w:asciiTheme="minorHAnsi" w:hAnsiTheme="minorHAnsi" w:cstheme="minorHAnsi"/>
        </w:rPr>
        <w:t xml:space="preserve"> </w:t>
      </w:r>
      <w:r w:rsidR="009B09A2">
        <w:rPr>
          <w:rFonts w:asciiTheme="minorHAnsi" w:hAnsiTheme="minorHAnsi" w:cstheme="minorHAnsi"/>
        </w:rPr>
        <w:t xml:space="preserve">the right to </w:t>
      </w:r>
      <w:r w:rsidR="002467F2" w:rsidRPr="008331C4">
        <w:rPr>
          <w:rFonts w:asciiTheme="minorHAnsi" w:hAnsiTheme="minorHAnsi" w:cstheme="minorHAnsi"/>
        </w:rPr>
        <w:t>freedom of association</w:t>
      </w:r>
      <w:r w:rsidR="002F738C">
        <w:rPr>
          <w:rFonts w:asciiTheme="minorHAnsi" w:hAnsiTheme="minorHAnsi" w:cstheme="minorHAnsi"/>
        </w:rPr>
        <w:t>;</w:t>
      </w:r>
      <w:r w:rsidR="002467F2" w:rsidRPr="008331C4">
        <w:rPr>
          <w:rFonts w:asciiTheme="minorHAnsi" w:hAnsiTheme="minorHAnsi" w:cstheme="minorHAnsi"/>
        </w:rPr>
        <w:t xml:space="preserve"> the right to not be discriminated against</w:t>
      </w:r>
      <w:r w:rsidR="002F738C">
        <w:rPr>
          <w:rFonts w:asciiTheme="minorHAnsi" w:hAnsiTheme="minorHAnsi" w:cstheme="minorHAnsi"/>
        </w:rPr>
        <w:t>;</w:t>
      </w:r>
      <w:r w:rsidR="002467F2" w:rsidRPr="008331C4">
        <w:rPr>
          <w:rFonts w:asciiTheme="minorHAnsi" w:hAnsiTheme="minorHAnsi" w:cstheme="minorHAnsi"/>
        </w:rPr>
        <w:t xml:space="preserve"> the presumption of innocence</w:t>
      </w:r>
      <w:r w:rsidR="002F738C">
        <w:rPr>
          <w:rFonts w:asciiTheme="minorHAnsi" w:hAnsiTheme="minorHAnsi" w:cstheme="minorHAnsi"/>
        </w:rPr>
        <w:t>;</w:t>
      </w:r>
      <w:r w:rsidR="002467F2" w:rsidRPr="008331C4">
        <w:rPr>
          <w:rFonts w:asciiTheme="minorHAnsi" w:hAnsiTheme="minorHAnsi" w:cstheme="minorHAnsi"/>
        </w:rPr>
        <w:t xml:space="preserve"> and the right to due process. That is quite a long list. Some of these rights can </w:t>
      </w:r>
      <w:r w:rsidR="00B01039" w:rsidRPr="008331C4">
        <w:rPr>
          <w:rFonts w:asciiTheme="minorHAnsi" w:hAnsiTheme="minorHAnsi" w:cstheme="minorHAnsi"/>
        </w:rPr>
        <w:t xml:space="preserve">legitimately and lawfully </w:t>
      </w:r>
      <w:r w:rsidR="002467F2" w:rsidRPr="008331C4">
        <w:rPr>
          <w:rFonts w:asciiTheme="minorHAnsi" w:hAnsiTheme="minorHAnsi" w:cstheme="minorHAnsi"/>
        </w:rPr>
        <w:t xml:space="preserve">be limited or qualified – either as explicitly outlined in the text of individual treaties or balanced against the rights of others or in certain circumstances </w:t>
      </w:r>
      <w:r w:rsidR="002F738C">
        <w:rPr>
          <w:rFonts w:asciiTheme="minorHAnsi" w:hAnsiTheme="minorHAnsi" w:cstheme="minorHAnsi"/>
        </w:rPr>
        <w:t xml:space="preserve">against </w:t>
      </w:r>
      <w:r w:rsidR="002467F2" w:rsidRPr="008331C4">
        <w:rPr>
          <w:rFonts w:asciiTheme="minorHAnsi" w:hAnsiTheme="minorHAnsi" w:cstheme="minorHAnsi"/>
        </w:rPr>
        <w:t xml:space="preserve">the wider public interest </w:t>
      </w:r>
      <w:r w:rsidR="00930FD8">
        <w:rPr>
          <w:rFonts w:asciiTheme="minorHAnsi" w:hAnsiTheme="minorHAnsi" w:cstheme="minorHAnsi"/>
        </w:rPr>
        <w:t xml:space="preserve">including national security </w:t>
      </w:r>
      <w:r w:rsidR="002467F2" w:rsidRPr="008331C4">
        <w:rPr>
          <w:rFonts w:asciiTheme="minorHAnsi" w:hAnsiTheme="minorHAnsi" w:cstheme="minorHAnsi"/>
        </w:rPr>
        <w:t xml:space="preserve">– </w:t>
      </w:r>
      <w:r w:rsidR="00453D4F" w:rsidRPr="008331C4">
        <w:rPr>
          <w:rFonts w:asciiTheme="minorHAnsi" w:hAnsiTheme="minorHAnsi" w:cstheme="minorHAnsi"/>
        </w:rPr>
        <w:t>but</w:t>
      </w:r>
      <w:r w:rsidR="002467F2" w:rsidRPr="008331C4">
        <w:rPr>
          <w:rFonts w:asciiTheme="minorHAnsi" w:hAnsiTheme="minorHAnsi" w:cstheme="minorHAnsi"/>
        </w:rPr>
        <w:t xml:space="preserve"> the last three rights - the right to not be discriminated against, the presumption of innocence, and the right to due process - are considered to be universal and absolute.</w:t>
      </w:r>
    </w:p>
    <w:p w14:paraId="11037DA0" w14:textId="77777777" w:rsidR="002467F2" w:rsidRPr="008331C4" w:rsidRDefault="002467F2" w:rsidP="002467F2">
      <w:pPr>
        <w:jc w:val="both"/>
        <w:rPr>
          <w:rFonts w:asciiTheme="minorHAnsi" w:hAnsiTheme="minorHAnsi" w:cstheme="minorHAnsi"/>
        </w:rPr>
      </w:pPr>
    </w:p>
    <w:p w14:paraId="4DF72091" w14:textId="4D73F598" w:rsidR="002467F2" w:rsidRPr="008331C4" w:rsidRDefault="00B01039" w:rsidP="002467F2">
      <w:pPr>
        <w:jc w:val="both"/>
        <w:rPr>
          <w:rFonts w:asciiTheme="minorHAnsi" w:hAnsiTheme="minorHAnsi" w:cstheme="minorHAnsi"/>
        </w:rPr>
      </w:pPr>
      <w:r w:rsidRPr="008331C4">
        <w:rPr>
          <w:rFonts w:asciiTheme="minorHAnsi" w:hAnsiTheme="minorHAnsi" w:cstheme="minorHAnsi"/>
        </w:rPr>
        <w:t xml:space="preserve">One </w:t>
      </w:r>
      <w:r w:rsidR="00AD7D75" w:rsidRPr="008331C4">
        <w:rPr>
          <w:rFonts w:asciiTheme="minorHAnsi" w:hAnsiTheme="minorHAnsi" w:cstheme="minorHAnsi"/>
        </w:rPr>
        <w:t xml:space="preserve">major challenge posed by many </w:t>
      </w:r>
      <w:r w:rsidRPr="008331C4">
        <w:rPr>
          <w:rFonts w:asciiTheme="minorHAnsi" w:hAnsiTheme="minorHAnsi" w:cstheme="minorHAnsi"/>
        </w:rPr>
        <w:t>PVE initiatives is</w:t>
      </w:r>
      <w:r w:rsidR="00AD7D75" w:rsidRPr="008331C4">
        <w:rPr>
          <w:rFonts w:asciiTheme="minorHAnsi" w:hAnsiTheme="minorHAnsi" w:cstheme="minorHAnsi"/>
        </w:rPr>
        <w:t xml:space="preserve"> exactly where one locates them on </w:t>
      </w:r>
      <w:r w:rsidRPr="008331C4">
        <w:rPr>
          <w:rFonts w:asciiTheme="minorHAnsi" w:hAnsiTheme="minorHAnsi" w:cstheme="minorHAnsi"/>
        </w:rPr>
        <w:t xml:space="preserve">the </w:t>
      </w:r>
      <w:r w:rsidR="00AD7D75" w:rsidRPr="008331C4">
        <w:rPr>
          <w:rFonts w:asciiTheme="minorHAnsi" w:hAnsiTheme="minorHAnsi" w:cstheme="minorHAnsi"/>
        </w:rPr>
        <w:t xml:space="preserve">legal spectrum. The framing that occurs around vulnerability and social welfare </w:t>
      </w:r>
      <w:r w:rsidR="00C054A8">
        <w:rPr>
          <w:rFonts w:asciiTheme="minorHAnsi" w:hAnsiTheme="minorHAnsi" w:cstheme="minorHAnsi"/>
        </w:rPr>
        <w:t xml:space="preserve">is </w:t>
      </w:r>
      <w:r w:rsidR="00AD7D75" w:rsidRPr="008331C4">
        <w:rPr>
          <w:rFonts w:asciiTheme="minorHAnsi" w:hAnsiTheme="minorHAnsi" w:cstheme="minorHAnsi"/>
        </w:rPr>
        <w:t xml:space="preserve">clearly </w:t>
      </w:r>
      <w:r w:rsidR="00C054A8">
        <w:rPr>
          <w:rFonts w:asciiTheme="minorHAnsi" w:hAnsiTheme="minorHAnsi" w:cstheme="minorHAnsi"/>
        </w:rPr>
        <w:t>intended to d</w:t>
      </w:r>
      <w:r w:rsidR="00AD7D75" w:rsidRPr="008331C4">
        <w:rPr>
          <w:rFonts w:asciiTheme="minorHAnsi" w:hAnsiTheme="minorHAnsi" w:cstheme="minorHAnsi"/>
        </w:rPr>
        <w:t xml:space="preserve">istinguish such initiatives from law enforcement or security intelligence activities, but at the same time it is equally clear that </w:t>
      </w:r>
      <w:r w:rsidR="003469B4" w:rsidRPr="008331C4">
        <w:rPr>
          <w:rFonts w:asciiTheme="minorHAnsi" w:hAnsiTheme="minorHAnsi" w:cstheme="minorHAnsi"/>
        </w:rPr>
        <w:t xml:space="preserve">the stigma associated with PVE programming can have an extremely detrimental effect on an individual’s standing within society and potentially also on the full enjoyment of </w:t>
      </w:r>
      <w:r w:rsidR="00C054A8">
        <w:rPr>
          <w:rFonts w:asciiTheme="minorHAnsi" w:hAnsiTheme="minorHAnsi" w:cstheme="minorHAnsi"/>
        </w:rPr>
        <w:t>his or her</w:t>
      </w:r>
      <w:r w:rsidR="003469B4" w:rsidRPr="008331C4">
        <w:rPr>
          <w:rFonts w:asciiTheme="minorHAnsi" w:hAnsiTheme="minorHAnsi" w:cstheme="minorHAnsi"/>
        </w:rPr>
        <w:t xml:space="preserve"> protected rights</w:t>
      </w:r>
      <w:r w:rsidR="00AD7D75" w:rsidRPr="008331C4">
        <w:rPr>
          <w:rFonts w:asciiTheme="minorHAnsi" w:hAnsiTheme="minorHAnsi" w:cstheme="minorHAnsi"/>
        </w:rPr>
        <w:t xml:space="preserve">. </w:t>
      </w:r>
      <w:r w:rsidR="003469B4" w:rsidRPr="008331C4">
        <w:rPr>
          <w:rFonts w:asciiTheme="minorHAnsi" w:hAnsiTheme="minorHAnsi" w:cstheme="minorHAnsi"/>
        </w:rPr>
        <w:t>This is especially true when, as the</w:t>
      </w:r>
      <w:r w:rsidR="003469B4" w:rsidRPr="008331C4">
        <w:rPr>
          <w:rFonts w:asciiTheme="minorHAnsi" w:hAnsiTheme="minorHAnsi" w:cstheme="minorHAnsi"/>
          <w:color w:val="000000" w:themeColor="text1"/>
        </w:rPr>
        <w:t xml:space="preserve"> current UN Special Rapporteur</w:t>
      </w:r>
      <w:r w:rsidR="003469B4" w:rsidRPr="008331C4">
        <w:rPr>
          <w:rFonts w:asciiTheme="minorHAnsi" w:hAnsiTheme="minorHAnsi" w:cstheme="minorHAnsi"/>
          <w:i/>
          <w:iCs/>
        </w:rPr>
        <w:t xml:space="preserve"> </w:t>
      </w:r>
      <w:proofErr w:type="spellStart"/>
      <w:r w:rsidR="003469B4" w:rsidRPr="008331C4">
        <w:rPr>
          <w:rFonts w:asciiTheme="minorHAnsi" w:hAnsiTheme="minorHAnsi" w:cstheme="minorHAnsi"/>
        </w:rPr>
        <w:t>Fionnuala</w:t>
      </w:r>
      <w:proofErr w:type="spellEnd"/>
      <w:r w:rsidR="003469B4" w:rsidRPr="008331C4">
        <w:rPr>
          <w:rFonts w:asciiTheme="minorHAnsi" w:hAnsiTheme="minorHAnsi" w:cstheme="minorHAnsi"/>
        </w:rPr>
        <w:t xml:space="preserve"> </w:t>
      </w:r>
      <w:proofErr w:type="spellStart"/>
      <w:r w:rsidR="003469B4" w:rsidRPr="008331C4">
        <w:rPr>
          <w:rFonts w:asciiTheme="minorHAnsi" w:hAnsiTheme="minorHAnsi" w:cstheme="minorHAnsi"/>
        </w:rPr>
        <w:t>Ní</w:t>
      </w:r>
      <w:proofErr w:type="spellEnd"/>
      <w:r w:rsidR="003469B4" w:rsidRPr="008331C4">
        <w:rPr>
          <w:rFonts w:asciiTheme="minorHAnsi" w:hAnsiTheme="minorHAnsi" w:cstheme="minorHAnsi"/>
        </w:rPr>
        <w:t xml:space="preserve"> </w:t>
      </w:r>
      <w:proofErr w:type="spellStart"/>
      <w:r w:rsidR="003469B4" w:rsidRPr="008331C4">
        <w:rPr>
          <w:rFonts w:asciiTheme="minorHAnsi" w:hAnsiTheme="minorHAnsi" w:cstheme="minorHAnsi"/>
        </w:rPr>
        <w:t>Aoláin</w:t>
      </w:r>
      <w:proofErr w:type="spellEnd"/>
      <w:r w:rsidR="003469B4" w:rsidRPr="008331C4">
        <w:rPr>
          <w:rFonts w:asciiTheme="minorHAnsi" w:hAnsiTheme="minorHAnsi" w:cstheme="minorHAnsi"/>
        </w:rPr>
        <w:t xml:space="preserve"> has noted</w:t>
      </w:r>
      <w:r w:rsidR="00001CAF" w:rsidRPr="008331C4">
        <w:rPr>
          <w:rFonts w:asciiTheme="minorHAnsi" w:hAnsiTheme="minorHAnsi" w:cstheme="minorHAnsi"/>
        </w:rPr>
        <w:t>,</w:t>
      </w:r>
      <w:r w:rsidR="003469B4" w:rsidRPr="008331C4">
        <w:rPr>
          <w:rFonts w:asciiTheme="minorHAnsi" w:hAnsiTheme="minorHAnsi" w:cstheme="minorHAnsi"/>
        </w:rPr>
        <w:t xml:space="preserve"> laws, policies and programs </w:t>
      </w:r>
      <w:r w:rsidR="00001CAF" w:rsidRPr="008331C4">
        <w:rPr>
          <w:rFonts w:asciiTheme="minorHAnsi" w:hAnsiTheme="minorHAnsi" w:cstheme="minorHAnsi"/>
        </w:rPr>
        <w:t xml:space="preserve">seek to </w:t>
      </w:r>
      <w:r w:rsidR="003469B4" w:rsidRPr="008331C4">
        <w:rPr>
          <w:rFonts w:asciiTheme="minorHAnsi" w:hAnsiTheme="minorHAnsi" w:cstheme="minorHAnsi"/>
        </w:rPr>
        <w:t>regulate “extremism</w:t>
      </w:r>
      <w:r w:rsidR="00001CAF" w:rsidRPr="008331C4">
        <w:rPr>
          <w:rFonts w:asciiTheme="minorHAnsi" w:hAnsiTheme="minorHAnsi" w:cstheme="minorHAnsi"/>
        </w:rPr>
        <w:t>” - as opposed to violent extremism -</w:t>
      </w:r>
      <w:r w:rsidR="003469B4" w:rsidRPr="008331C4">
        <w:rPr>
          <w:rFonts w:asciiTheme="minorHAnsi" w:hAnsiTheme="minorHAnsi" w:cstheme="minorHAnsi"/>
        </w:rPr>
        <w:t xml:space="preserve"> </w:t>
      </w:r>
      <w:r w:rsidR="00001CAF" w:rsidRPr="008331C4">
        <w:rPr>
          <w:rFonts w:asciiTheme="minorHAnsi" w:hAnsiTheme="minorHAnsi" w:cstheme="minorHAnsi"/>
        </w:rPr>
        <w:t>a concept, which she reminds us, has “</w:t>
      </w:r>
      <w:r w:rsidR="003469B4" w:rsidRPr="008331C4">
        <w:rPr>
          <w:rFonts w:asciiTheme="minorHAnsi" w:hAnsiTheme="minorHAnsi" w:cstheme="minorHAnsi"/>
        </w:rPr>
        <w:t>no purchase in international law and domestic law”</w:t>
      </w:r>
      <w:r w:rsidR="00001CAF" w:rsidRPr="008331C4">
        <w:rPr>
          <w:rFonts w:asciiTheme="minorHAnsi" w:hAnsiTheme="minorHAnsi" w:cstheme="minorHAnsi"/>
        </w:rPr>
        <w:t>.</w:t>
      </w:r>
      <w:r w:rsidR="003469B4" w:rsidRPr="008331C4">
        <w:rPr>
          <w:rStyle w:val="FootnoteReference"/>
          <w:rFonts w:asciiTheme="minorHAnsi" w:hAnsiTheme="minorHAnsi" w:cstheme="minorHAnsi"/>
        </w:rPr>
        <w:footnoteReference w:id="73"/>
      </w:r>
      <w:r w:rsidR="00001CAF" w:rsidRPr="008331C4">
        <w:rPr>
          <w:rFonts w:asciiTheme="minorHAnsi" w:hAnsiTheme="minorHAnsi" w:cstheme="minorHAnsi"/>
        </w:rPr>
        <w:t xml:space="preserve"> </w:t>
      </w:r>
      <w:r w:rsidR="003469B4" w:rsidRPr="008331C4">
        <w:rPr>
          <w:rFonts w:asciiTheme="minorHAnsi" w:hAnsiTheme="minorHAnsi" w:cstheme="minorHAnsi"/>
        </w:rPr>
        <w:t>T</w:t>
      </w:r>
      <w:r w:rsidR="002467F2" w:rsidRPr="008331C4">
        <w:rPr>
          <w:rFonts w:asciiTheme="minorHAnsi" w:hAnsiTheme="minorHAnsi" w:cstheme="minorHAnsi"/>
        </w:rPr>
        <w:t>here are four over</w:t>
      </w:r>
      <w:r w:rsidR="008F6C5D">
        <w:rPr>
          <w:rFonts w:asciiTheme="minorHAnsi" w:hAnsiTheme="minorHAnsi" w:cstheme="minorHAnsi"/>
        </w:rPr>
        <w:t>-</w:t>
      </w:r>
      <w:r w:rsidR="002467F2" w:rsidRPr="008331C4">
        <w:rPr>
          <w:rFonts w:asciiTheme="minorHAnsi" w:hAnsiTheme="minorHAnsi" w:cstheme="minorHAnsi"/>
        </w:rPr>
        <w:t xml:space="preserve">arching human rights norms that govern all interactions </w:t>
      </w:r>
      <w:r w:rsidR="003469B4" w:rsidRPr="008331C4">
        <w:rPr>
          <w:rFonts w:asciiTheme="minorHAnsi" w:hAnsiTheme="minorHAnsi" w:cstheme="minorHAnsi"/>
        </w:rPr>
        <w:t xml:space="preserve">that take place </w:t>
      </w:r>
      <w:r w:rsidR="003469B4" w:rsidRPr="008331C4">
        <w:rPr>
          <w:rFonts w:asciiTheme="minorHAnsi" w:hAnsiTheme="minorHAnsi" w:cstheme="minorHAnsi"/>
        </w:rPr>
        <w:lastRenderedPageBreak/>
        <w:t xml:space="preserve">within the rubric of the criminal justice system </w:t>
      </w:r>
      <w:r w:rsidR="002467F2" w:rsidRPr="008331C4">
        <w:rPr>
          <w:rFonts w:asciiTheme="minorHAnsi" w:hAnsiTheme="minorHAnsi" w:cstheme="minorHAnsi"/>
        </w:rPr>
        <w:t xml:space="preserve">between law enforcement agents and members of the public suspected to have breached the law or to pose a threat to public safety – that any action undertaken by those law enforcement agents be lawful, reasonable, necessary and proportionate. These seem to be useful guiding principles to apply to </w:t>
      </w:r>
      <w:r w:rsidR="003469B4" w:rsidRPr="008331C4">
        <w:rPr>
          <w:rFonts w:asciiTheme="minorHAnsi" w:hAnsiTheme="minorHAnsi" w:cstheme="minorHAnsi"/>
        </w:rPr>
        <w:t>PVE</w:t>
      </w:r>
      <w:r w:rsidR="002467F2" w:rsidRPr="008331C4">
        <w:rPr>
          <w:rFonts w:asciiTheme="minorHAnsi" w:hAnsiTheme="minorHAnsi" w:cstheme="minorHAnsi"/>
        </w:rPr>
        <w:t xml:space="preserve"> initiatives as well</w:t>
      </w:r>
      <w:r w:rsidR="008331C4">
        <w:rPr>
          <w:rFonts w:asciiTheme="minorHAnsi" w:hAnsiTheme="minorHAnsi" w:cstheme="minorHAnsi"/>
        </w:rPr>
        <w:t xml:space="preserve">, and it is clear from some </w:t>
      </w:r>
      <w:r w:rsidR="00C054A8">
        <w:rPr>
          <w:rFonts w:asciiTheme="minorHAnsi" w:hAnsiTheme="minorHAnsi" w:cstheme="minorHAnsi"/>
        </w:rPr>
        <w:t xml:space="preserve">of </w:t>
      </w:r>
      <w:r w:rsidR="008331C4">
        <w:rPr>
          <w:rFonts w:asciiTheme="minorHAnsi" w:hAnsiTheme="minorHAnsi" w:cstheme="minorHAnsi"/>
        </w:rPr>
        <w:t xml:space="preserve">the examples offered above that, while lawful, many </w:t>
      </w:r>
      <w:r w:rsidR="00C054A8">
        <w:rPr>
          <w:rFonts w:asciiTheme="minorHAnsi" w:hAnsiTheme="minorHAnsi" w:cstheme="minorHAnsi"/>
        </w:rPr>
        <w:t xml:space="preserve">past </w:t>
      </w:r>
      <w:r w:rsidR="008331C4">
        <w:rPr>
          <w:rFonts w:asciiTheme="minorHAnsi" w:hAnsiTheme="minorHAnsi" w:cstheme="minorHAnsi"/>
        </w:rPr>
        <w:t xml:space="preserve">Channel referrals </w:t>
      </w:r>
      <w:r w:rsidR="00C054A8">
        <w:rPr>
          <w:rFonts w:asciiTheme="minorHAnsi" w:hAnsiTheme="minorHAnsi" w:cstheme="minorHAnsi"/>
        </w:rPr>
        <w:t xml:space="preserve">would </w:t>
      </w:r>
      <w:r w:rsidR="009858F7">
        <w:rPr>
          <w:rFonts w:asciiTheme="minorHAnsi" w:hAnsiTheme="minorHAnsi" w:cstheme="minorHAnsi"/>
        </w:rPr>
        <w:t xml:space="preserve">likely </w:t>
      </w:r>
      <w:r w:rsidR="00C054A8">
        <w:rPr>
          <w:rFonts w:asciiTheme="minorHAnsi" w:hAnsiTheme="minorHAnsi" w:cstheme="minorHAnsi"/>
        </w:rPr>
        <w:t>fail the reasonable,</w:t>
      </w:r>
      <w:r w:rsidR="00C054A8" w:rsidRPr="00C054A8">
        <w:rPr>
          <w:rFonts w:asciiTheme="minorHAnsi" w:hAnsiTheme="minorHAnsi" w:cstheme="minorHAnsi"/>
        </w:rPr>
        <w:t xml:space="preserve"> </w:t>
      </w:r>
      <w:r w:rsidR="00C054A8">
        <w:rPr>
          <w:rFonts w:asciiTheme="minorHAnsi" w:hAnsiTheme="minorHAnsi" w:cstheme="minorHAnsi"/>
        </w:rPr>
        <w:t>necessary and proportionate test</w:t>
      </w:r>
      <w:r w:rsidR="002D5FD9">
        <w:rPr>
          <w:rFonts w:asciiTheme="minorHAnsi" w:hAnsiTheme="minorHAnsi" w:cstheme="minorHAnsi"/>
        </w:rPr>
        <w:t>s</w:t>
      </w:r>
      <w:r w:rsidR="00C054A8">
        <w:rPr>
          <w:rFonts w:asciiTheme="minorHAnsi" w:hAnsiTheme="minorHAnsi" w:cstheme="minorHAnsi"/>
        </w:rPr>
        <w:t>.</w:t>
      </w:r>
    </w:p>
    <w:p w14:paraId="16760B85" w14:textId="77777777" w:rsidR="001D60E7" w:rsidRPr="008331C4" w:rsidRDefault="001D60E7" w:rsidP="001D60E7">
      <w:pPr>
        <w:pStyle w:val="BodyText"/>
        <w:jc w:val="both"/>
        <w:rPr>
          <w:rFonts w:asciiTheme="minorHAnsi" w:eastAsia="Times New Roman" w:hAnsiTheme="minorHAnsi" w:cstheme="minorHAnsi"/>
          <w:color w:val="0B0C0C"/>
          <w:sz w:val="24"/>
          <w:szCs w:val="24"/>
        </w:rPr>
      </w:pPr>
    </w:p>
    <w:p w14:paraId="39CEC7D5" w14:textId="7B3A5255" w:rsidR="009B46FC" w:rsidRPr="008331C4" w:rsidRDefault="00001CAF" w:rsidP="008331C4">
      <w:pPr>
        <w:pStyle w:val="BodyText"/>
        <w:jc w:val="both"/>
        <w:rPr>
          <w:rFonts w:asciiTheme="minorHAnsi" w:eastAsia="Times New Roman" w:hAnsiTheme="minorHAnsi" w:cstheme="minorHAnsi"/>
          <w:color w:val="0B0C0C"/>
          <w:sz w:val="24"/>
          <w:szCs w:val="24"/>
        </w:rPr>
      </w:pPr>
      <w:r w:rsidRPr="008331C4">
        <w:rPr>
          <w:rFonts w:asciiTheme="minorHAnsi" w:eastAsia="Times New Roman" w:hAnsiTheme="minorHAnsi" w:cstheme="minorHAnsi"/>
          <w:color w:val="0B0C0C"/>
          <w:sz w:val="24"/>
          <w:szCs w:val="24"/>
        </w:rPr>
        <w:t xml:space="preserve">In cases that directly concern children a further body of human rights law applies, codified in the </w:t>
      </w:r>
      <w:r w:rsidR="00D440AE" w:rsidRPr="008331C4">
        <w:rPr>
          <w:rFonts w:asciiTheme="minorHAnsi" w:eastAsia="Times New Roman" w:hAnsiTheme="minorHAnsi" w:cstheme="minorHAnsi"/>
          <w:color w:val="0B0C0C"/>
          <w:sz w:val="24"/>
          <w:szCs w:val="24"/>
        </w:rPr>
        <w:t xml:space="preserve">United Nations </w:t>
      </w:r>
      <w:r w:rsidRPr="008331C4">
        <w:rPr>
          <w:rFonts w:asciiTheme="minorHAnsi" w:eastAsia="Times New Roman" w:hAnsiTheme="minorHAnsi" w:cstheme="minorHAnsi"/>
          <w:color w:val="0B0C0C"/>
          <w:sz w:val="24"/>
          <w:szCs w:val="24"/>
        </w:rPr>
        <w:t>Convention on the Rights of the Child</w:t>
      </w:r>
      <w:r w:rsidR="00D440AE" w:rsidRPr="008331C4">
        <w:rPr>
          <w:rFonts w:asciiTheme="minorHAnsi" w:eastAsia="Times New Roman" w:hAnsiTheme="minorHAnsi" w:cstheme="minorHAnsi"/>
          <w:color w:val="0B0C0C"/>
          <w:sz w:val="24"/>
          <w:szCs w:val="24"/>
        </w:rPr>
        <w:t>, which entered into force in 1990 and is the most widely ratified of all UN conventions</w:t>
      </w:r>
      <w:r w:rsidRPr="008331C4">
        <w:rPr>
          <w:rFonts w:asciiTheme="minorHAnsi" w:eastAsia="Times New Roman" w:hAnsiTheme="minorHAnsi" w:cstheme="minorHAnsi"/>
          <w:color w:val="0B0C0C"/>
          <w:sz w:val="24"/>
          <w:szCs w:val="24"/>
        </w:rPr>
        <w:t xml:space="preserve">. </w:t>
      </w:r>
      <w:r w:rsidR="00D440AE" w:rsidRPr="008331C4">
        <w:rPr>
          <w:rFonts w:asciiTheme="minorHAnsi" w:eastAsia="Times New Roman" w:hAnsiTheme="minorHAnsi" w:cstheme="minorHAnsi"/>
          <w:color w:val="0B0C0C"/>
          <w:sz w:val="24"/>
          <w:szCs w:val="24"/>
        </w:rPr>
        <w:t xml:space="preserve">The </w:t>
      </w:r>
      <w:r w:rsidR="008331C4">
        <w:rPr>
          <w:rFonts w:asciiTheme="minorHAnsi" w:eastAsia="Times New Roman" w:hAnsiTheme="minorHAnsi" w:cstheme="minorHAnsi"/>
          <w:color w:val="0B0C0C"/>
          <w:sz w:val="24"/>
          <w:szCs w:val="24"/>
        </w:rPr>
        <w:t>C</w:t>
      </w:r>
      <w:r w:rsidR="00D440AE" w:rsidRPr="008331C4">
        <w:rPr>
          <w:rFonts w:asciiTheme="minorHAnsi" w:eastAsia="Times New Roman" w:hAnsiTheme="minorHAnsi" w:cstheme="minorHAnsi"/>
          <w:color w:val="0B0C0C"/>
          <w:sz w:val="24"/>
          <w:szCs w:val="24"/>
        </w:rPr>
        <w:t xml:space="preserve">onvention distinguishes </w:t>
      </w:r>
      <w:r w:rsidR="00D440AE" w:rsidRPr="008331C4">
        <w:rPr>
          <w:rFonts w:asciiTheme="minorHAnsi" w:hAnsiTheme="minorHAnsi" w:cstheme="minorHAnsi"/>
          <w:sz w:val="24"/>
          <w:szCs w:val="24"/>
          <w:shd w:val="clear" w:color="auto" w:fill="FFFFFF"/>
        </w:rPr>
        <w:t xml:space="preserve">childhood from adulthood, establishes that childhood lasts until age 18, and </w:t>
      </w:r>
      <w:r w:rsidR="008331C4" w:rsidRPr="008331C4">
        <w:rPr>
          <w:rFonts w:asciiTheme="minorHAnsi" w:hAnsiTheme="minorHAnsi" w:cstheme="minorHAnsi"/>
          <w:sz w:val="24"/>
          <w:szCs w:val="24"/>
          <w:shd w:val="clear" w:color="auto" w:fill="FFFFFF"/>
        </w:rPr>
        <w:t xml:space="preserve">describes childhood, the words of the United Nations </w:t>
      </w:r>
      <w:r w:rsidR="008331C4">
        <w:rPr>
          <w:rFonts w:asciiTheme="minorHAnsi" w:hAnsiTheme="minorHAnsi" w:cstheme="minorHAnsi"/>
          <w:sz w:val="24"/>
          <w:szCs w:val="24"/>
          <w:shd w:val="clear" w:color="auto" w:fill="FFFFFF"/>
        </w:rPr>
        <w:t>International Children’s Emergency Fund (UNICEF)</w:t>
      </w:r>
      <w:r w:rsidR="008331C4" w:rsidRPr="008331C4">
        <w:rPr>
          <w:rFonts w:asciiTheme="minorHAnsi" w:hAnsiTheme="minorHAnsi" w:cstheme="minorHAnsi"/>
          <w:sz w:val="24"/>
          <w:szCs w:val="24"/>
          <w:shd w:val="clear" w:color="auto" w:fill="FFFFFF"/>
        </w:rPr>
        <w:t>, as “</w:t>
      </w:r>
      <w:r w:rsidR="00D440AE" w:rsidRPr="008331C4">
        <w:rPr>
          <w:rFonts w:asciiTheme="minorHAnsi" w:hAnsiTheme="minorHAnsi" w:cstheme="minorHAnsi"/>
          <w:sz w:val="24"/>
          <w:szCs w:val="24"/>
          <w:shd w:val="clear" w:color="auto" w:fill="FFFFFF"/>
        </w:rPr>
        <w:t>a special, protected time, in which children must be allowed to grow, learn, play, develop and flourish with dignity.</w:t>
      </w:r>
      <w:r w:rsidR="008331C4" w:rsidRPr="008331C4">
        <w:rPr>
          <w:rFonts w:asciiTheme="minorHAnsi" w:eastAsia="Times New Roman" w:hAnsiTheme="minorHAnsi" w:cstheme="minorHAnsi"/>
          <w:color w:val="0B0C0C"/>
          <w:sz w:val="24"/>
          <w:szCs w:val="24"/>
        </w:rPr>
        <w:t>”</w:t>
      </w:r>
      <w:r w:rsidR="008331C4" w:rsidRPr="008331C4">
        <w:rPr>
          <w:rStyle w:val="FootnoteReference"/>
          <w:rFonts w:asciiTheme="minorHAnsi" w:eastAsia="Times New Roman" w:hAnsiTheme="minorHAnsi" w:cstheme="minorHAnsi"/>
          <w:color w:val="0B0C0C"/>
          <w:sz w:val="24"/>
          <w:szCs w:val="24"/>
        </w:rPr>
        <w:footnoteReference w:id="74"/>
      </w:r>
      <w:r>
        <w:rPr>
          <w:rFonts w:asciiTheme="minorHAnsi" w:eastAsia="Times New Roman" w:hAnsiTheme="minorHAnsi" w:cstheme="minorHAnsi"/>
          <w:color w:val="0B0C0C"/>
          <w:sz w:val="24"/>
          <w:szCs w:val="24"/>
        </w:rPr>
        <w:t xml:space="preserve"> </w:t>
      </w:r>
      <w:r w:rsidR="00C054A8">
        <w:rPr>
          <w:rFonts w:asciiTheme="minorHAnsi" w:eastAsia="Times New Roman" w:hAnsiTheme="minorHAnsi" w:cstheme="minorHAnsi"/>
          <w:color w:val="0B0C0C"/>
          <w:sz w:val="24"/>
          <w:szCs w:val="24"/>
        </w:rPr>
        <w:t>T</w:t>
      </w:r>
      <w:r>
        <w:rPr>
          <w:rFonts w:asciiTheme="minorHAnsi" w:eastAsia="Times New Roman" w:hAnsiTheme="minorHAnsi" w:cstheme="minorHAnsi"/>
          <w:color w:val="0B0C0C"/>
          <w:sz w:val="24"/>
          <w:szCs w:val="24"/>
        </w:rPr>
        <w:t>he f</w:t>
      </w:r>
      <w:r w:rsidR="00B01039">
        <w:rPr>
          <w:rFonts w:asciiTheme="minorHAnsi" w:eastAsia="Times New Roman" w:hAnsiTheme="minorHAnsi" w:cstheme="minorHAnsi"/>
          <w:color w:val="0B0C0C"/>
          <w:sz w:val="24"/>
          <w:szCs w:val="24"/>
        </w:rPr>
        <w:t xml:space="preserve">ormer </w:t>
      </w:r>
      <w:r w:rsidR="001D60E7">
        <w:rPr>
          <w:rFonts w:asciiTheme="minorHAnsi" w:eastAsia="Times New Roman" w:hAnsiTheme="minorHAnsi" w:cstheme="minorHAnsi"/>
          <w:color w:val="0B0C0C"/>
          <w:sz w:val="24"/>
          <w:szCs w:val="24"/>
        </w:rPr>
        <w:t>UN Special Rapporteur Ben Emmerson</w:t>
      </w:r>
      <w:r w:rsidR="00C054A8">
        <w:rPr>
          <w:rFonts w:asciiTheme="minorHAnsi" w:eastAsia="Times New Roman" w:hAnsiTheme="minorHAnsi" w:cstheme="minorHAnsi"/>
          <w:color w:val="0B0C0C"/>
          <w:sz w:val="24"/>
          <w:szCs w:val="24"/>
        </w:rPr>
        <w:t xml:space="preserve"> advised UN Member States</w:t>
      </w:r>
      <w:r w:rsidR="006930CD">
        <w:rPr>
          <w:rFonts w:asciiTheme="minorHAnsi" w:eastAsia="Times New Roman" w:hAnsiTheme="minorHAnsi" w:cstheme="minorHAnsi"/>
          <w:color w:val="0B0C0C"/>
          <w:sz w:val="24"/>
          <w:szCs w:val="24"/>
        </w:rPr>
        <w:t xml:space="preserve"> in 2016</w:t>
      </w:r>
      <w:r w:rsidR="00C054A8">
        <w:rPr>
          <w:rFonts w:asciiTheme="minorHAnsi" w:eastAsia="Times New Roman" w:hAnsiTheme="minorHAnsi" w:cstheme="minorHAnsi"/>
          <w:color w:val="0B0C0C"/>
          <w:sz w:val="24"/>
          <w:szCs w:val="24"/>
        </w:rPr>
        <w:t xml:space="preserve"> </w:t>
      </w:r>
      <w:r w:rsidR="006930CD">
        <w:rPr>
          <w:rFonts w:asciiTheme="minorHAnsi" w:eastAsia="Times New Roman" w:hAnsiTheme="minorHAnsi" w:cstheme="minorHAnsi"/>
          <w:color w:val="0B0C0C"/>
          <w:sz w:val="24"/>
          <w:szCs w:val="24"/>
        </w:rPr>
        <w:t>that they should</w:t>
      </w:r>
      <w:r w:rsidR="00C054A8">
        <w:rPr>
          <w:rFonts w:asciiTheme="minorHAnsi" w:eastAsia="Times New Roman" w:hAnsiTheme="minorHAnsi" w:cstheme="minorHAnsi"/>
          <w:color w:val="0B0C0C"/>
          <w:sz w:val="24"/>
          <w:szCs w:val="24"/>
        </w:rPr>
        <w:t xml:space="preserve"> be guided by the Convention </w:t>
      </w:r>
      <w:r w:rsidR="006930CD">
        <w:rPr>
          <w:rFonts w:asciiTheme="minorHAnsi" w:eastAsia="Times New Roman" w:hAnsiTheme="minorHAnsi" w:cstheme="minorHAnsi"/>
          <w:color w:val="0B0C0C"/>
          <w:sz w:val="24"/>
          <w:szCs w:val="24"/>
        </w:rPr>
        <w:t xml:space="preserve">in any and all circumstances in which children come to notice of the authorities in the context of counter-terrorism operations, and </w:t>
      </w:r>
      <w:r w:rsidR="001D60E7">
        <w:rPr>
          <w:rFonts w:asciiTheme="minorHAnsi" w:eastAsia="Times New Roman" w:hAnsiTheme="minorHAnsi" w:cstheme="minorHAnsi"/>
          <w:color w:val="0B0C0C"/>
          <w:sz w:val="24"/>
          <w:szCs w:val="24"/>
        </w:rPr>
        <w:t xml:space="preserve">that the best interests of the child </w:t>
      </w:r>
      <w:r w:rsidR="006930CD">
        <w:rPr>
          <w:rFonts w:asciiTheme="minorHAnsi" w:eastAsia="Times New Roman" w:hAnsiTheme="minorHAnsi" w:cstheme="minorHAnsi"/>
          <w:color w:val="0B0C0C"/>
          <w:sz w:val="24"/>
          <w:szCs w:val="24"/>
        </w:rPr>
        <w:t>should always be states’</w:t>
      </w:r>
      <w:r w:rsidR="001D60E7">
        <w:rPr>
          <w:rFonts w:asciiTheme="minorHAnsi" w:eastAsia="Times New Roman" w:hAnsiTheme="minorHAnsi" w:cstheme="minorHAnsi"/>
          <w:color w:val="0B0C0C"/>
          <w:sz w:val="24"/>
          <w:szCs w:val="24"/>
        </w:rPr>
        <w:t xml:space="preserve"> primary consideration.</w:t>
      </w:r>
      <w:r w:rsidR="006930CD">
        <w:rPr>
          <w:rStyle w:val="FootnoteReference"/>
          <w:rFonts w:asciiTheme="minorHAnsi" w:eastAsia="Times New Roman" w:hAnsiTheme="minorHAnsi" w:cstheme="minorHAnsi"/>
          <w:color w:val="0B0C0C"/>
          <w:sz w:val="24"/>
          <w:szCs w:val="24"/>
        </w:rPr>
        <w:footnoteReference w:id="75"/>
      </w:r>
      <w:r w:rsidR="001D60E7">
        <w:rPr>
          <w:rFonts w:asciiTheme="minorHAnsi" w:eastAsia="Times New Roman" w:hAnsiTheme="minorHAnsi" w:cstheme="minorHAnsi"/>
          <w:color w:val="0B0C0C"/>
          <w:sz w:val="24"/>
          <w:szCs w:val="24"/>
        </w:rPr>
        <w:t xml:space="preserve"> </w:t>
      </w:r>
      <w:r w:rsidR="006930CD">
        <w:rPr>
          <w:rFonts w:asciiTheme="minorHAnsi" w:eastAsia="Times New Roman" w:hAnsiTheme="minorHAnsi" w:cstheme="minorHAnsi"/>
          <w:color w:val="0B0C0C"/>
          <w:sz w:val="24"/>
          <w:szCs w:val="24"/>
        </w:rPr>
        <w:t xml:space="preserve">He also recalled that </w:t>
      </w:r>
      <w:r w:rsidR="001D60E7">
        <w:rPr>
          <w:rFonts w:asciiTheme="minorHAnsi" w:eastAsia="Times New Roman" w:hAnsiTheme="minorHAnsi" w:cstheme="minorHAnsi"/>
          <w:color w:val="0B0C0C"/>
          <w:sz w:val="24"/>
          <w:szCs w:val="24"/>
        </w:rPr>
        <w:t xml:space="preserve">the Convention </w:t>
      </w:r>
      <w:r w:rsidR="00930FD8">
        <w:rPr>
          <w:rFonts w:asciiTheme="minorHAnsi" w:eastAsia="Times New Roman" w:hAnsiTheme="minorHAnsi" w:cstheme="minorHAnsi"/>
          <w:color w:val="0B0C0C"/>
          <w:sz w:val="24"/>
          <w:szCs w:val="24"/>
        </w:rPr>
        <w:t xml:space="preserve">required </w:t>
      </w:r>
      <w:r w:rsidR="001D60E7">
        <w:rPr>
          <w:rFonts w:asciiTheme="minorHAnsi" w:eastAsia="Times New Roman" w:hAnsiTheme="minorHAnsi" w:cstheme="minorHAnsi"/>
          <w:color w:val="0B0C0C"/>
          <w:sz w:val="24"/>
          <w:szCs w:val="24"/>
        </w:rPr>
        <w:t xml:space="preserve">states </w:t>
      </w:r>
      <w:r w:rsidR="00930FD8">
        <w:rPr>
          <w:rFonts w:asciiTheme="minorHAnsi" w:eastAsia="Times New Roman" w:hAnsiTheme="minorHAnsi" w:cstheme="minorHAnsi"/>
          <w:color w:val="0B0C0C"/>
          <w:sz w:val="24"/>
          <w:szCs w:val="24"/>
        </w:rPr>
        <w:t>to take suitable measure to ensure “</w:t>
      </w:r>
      <w:r w:rsidR="001D60E7">
        <w:rPr>
          <w:rFonts w:asciiTheme="minorHAnsi" w:eastAsia="Times New Roman" w:hAnsiTheme="minorHAnsi" w:cstheme="minorHAnsi"/>
          <w:color w:val="0B0C0C"/>
          <w:sz w:val="24"/>
          <w:szCs w:val="24"/>
        </w:rPr>
        <w:t>the child is protected against all forms of discrimination or punishment on the basis of the opinions or beliefs of the child’s parents, legal guardians, or family members.”</w:t>
      </w:r>
      <w:r w:rsidR="001D60E7">
        <w:rPr>
          <w:rStyle w:val="FootnoteReference"/>
          <w:rFonts w:asciiTheme="minorHAnsi" w:eastAsia="Times New Roman" w:hAnsiTheme="minorHAnsi" w:cstheme="minorHAnsi"/>
          <w:color w:val="0B0C0C"/>
          <w:sz w:val="24"/>
          <w:szCs w:val="24"/>
        </w:rPr>
        <w:footnoteReference w:id="76"/>
      </w:r>
    </w:p>
    <w:p w14:paraId="212D3070" w14:textId="77777777" w:rsidR="009B46FC" w:rsidRDefault="009B46FC" w:rsidP="00A46488">
      <w:pPr>
        <w:pStyle w:val="NoSpacing"/>
        <w:jc w:val="both"/>
        <w:rPr>
          <w:rFonts w:asciiTheme="minorHAnsi" w:eastAsia="Times New Roman" w:hAnsiTheme="minorHAnsi" w:cstheme="minorHAnsi"/>
          <w:color w:val="121212"/>
          <w:shd w:val="clear" w:color="auto" w:fill="FFFFFF"/>
        </w:rPr>
      </w:pPr>
    </w:p>
    <w:p w14:paraId="13AA832B" w14:textId="5B28B9E9" w:rsidR="00F13A84" w:rsidRPr="00F13A84" w:rsidRDefault="00C02385" w:rsidP="00A46488">
      <w:pPr>
        <w:pStyle w:val="NoSpacing"/>
        <w:jc w:val="both"/>
        <w:rPr>
          <w:rFonts w:asciiTheme="minorHAnsi" w:eastAsia="Times New Roman" w:hAnsiTheme="minorHAnsi" w:cstheme="minorHAnsi"/>
          <w:i/>
          <w:iCs/>
          <w:color w:val="121212"/>
          <w:shd w:val="clear" w:color="auto" w:fill="FFFFFF"/>
        </w:rPr>
      </w:pPr>
      <w:r>
        <w:rPr>
          <w:rFonts w:asciiTheme="minorHAnsi" w:eastAsia="Times New Roman" w:hAnsiTheme="minorHAnsi" w:cstheme="minorHAnsi"/>
          <w:i/>
          <w:iCs/>
          <w:color w:val="121212"/>
          <w:shd w:val="clear" w:color="auto" w:fill="FFFFFF"/>
        </w:rPr>
        <w:t>Missed Opportunities?</w:t>
      </w:r>
    </w:p>
    <w:p w14:paraId="3737EB1C" w14:textId="77777777" w:rsidR="0065306E" w:rsidRPr="003F7F0D" w:rsidRDefault="0065306E" w:rsidP="0065306E">
      <w:pPr>
        <w:pStyle w:val="BodyText"/>
        <w:jc w:val="both"/>
        <w:rPr>
          <w:rFonts w:asciiTheme="minorHAnsi" w:eastAsia="Times New Roman" w:hAnsiTheme="minorHAnsi" w:cstheme="minorHAnsi"/>
          <w:color w:val="0B0C0C"/>
          <w:sz w:val="24"/>
          <w:szCs w:val="24"/>
        </w:rPr>
      </w:pPr>
    </w:p>
    <w:p w14:paraId="274C0689" w14:textId="299892C9" w:rsidR="00C02385" w:rsidRDefault="006D7281" w:rsidP="00A0370D">
      <w:pPr>
        <w:pStyle w:val="BodyText"/>
        <w:jc w:val="both"/>
        <w:rPr>
          <w:rFonts w:asciiTheme="minorHAnsi" w:eastAsia="Times New Roman" w:hAnsiTheme="minorHAnsi" w:cstheme="minorHAnsi"/>
          <w:color w:val="121212"/>
          <w:sz w:val="24"/>
          <w:szCs w:val="24"/>
          <w:shd w:val="clear" w:color="auto" w:fill="FFFFFF"/>
        </w:rPr>
      </w:pPr>
      <w:r>
        <w:rPr>
          <w:rFonts w:asciiTheme="minorHAnsi" w:eastAsia="Times New Roman" w:hAnsiTheme="minorHAnsi" w:cstheme="minorHAnsi"/>
          <w:color w:val="0B0C0C"/>
          <w:sz w:val="24"/>
          <w:szCs w:val="24"/>
        </w:rPr>
        <w:t xml:space="preserve">Finally, it is important to acknowledge that a number of individuals who </w:t>
      </w:r>
      <w:r w:rsidR="006C7BF6">
        <w:rPr>
          <w:rFonts w:asciiTheme="minorHAnsi" w:eastAsia="Times New Roman" w:hAnsiTheme="minorHAnsi" w:cstheme="minorHAnsi"/>
          <w:color w:val="0B0C0C"/>
          <w:sz w:val="24"/>
          <w:szCs w:val="24"/>
        </w:rPr>
        <w:t>have gone on</w:t>
      </w:r>
      <w:r>
        <w:rPr>
          <w:rFonts w:asciiTheme="minorHAnsi" w:eastAsia="Times New Roman" w:hAnsiTheme="minorHAnsi" w:cstheme="minorHAnsi"/>
          <w:color w:val="0B0C0C"/>
          <w:sz w:val="24"/>
          <w:szCs w:val="24"/>
        </w:rPr>
        <w:t xml:space="preserve"> to carry out acts of terrorism in the United Kingdom </w:t>
      </w:r>
      <w:r w:rsidR="006C7BF6">
        <w:rPr>
          <w:rFonts w:asciiTheme="minorHAnsi" w:eastAsia="Times New Roman" w:hAnsiTheme="minorHAnsi" w:cstheme="minorHAnsi"/>
          <w:color w:val="0B0C0C"/>
          <w:sz w:val="24"/>
          <w:szCs w:val="24"/>
        </w:rPr>
        <w:t xml:space="preserve">have </w:t>
      </w:r>
      <w:r>
        <w:rPr>
          <w:rFonts w:asciiTheme="minorHAnsi" w:eastAsia="Times New Roman" w:hAnsiTheme="minorHAnsi" w:cstheme="minorHAnsi"/>
          <w:color w:val="0B0C0C"/>
          <w:sz w:val="24"/>
          <w:szCs w:val="24"/>
        </w:rPr>
        <w:t xml:space="preserve">passed through institutions targeted specifically by the Prevent pillar without </w:t>
      </w:r>
      <w:r w:rsidR="00C02385">
        <w:rPr>
          <w:rFonts w:asciiTheme="minorHAnsi" w:eastAsia="Times New Roman" w:hAnsiTheme="minorHAnsi" w:cstheme="minorHAnsi"/>
          <w:color w:val="0B0C0C"/>
          <w:sz w:val="24"/>
          <w:szCs w:val="24"/>
        </w:rPr>
        <w:t xml:space="preserve">triggering a Channel intervention. </w:t>
      </w:r>
      <w:r>
        <w:rPr>
          <w:rFonts w:asciiTheme="minorHAnsi" w:eastAsia="Times New Roman" w:hAnsiTheme="minorHAnsi" w:cstheme="minorHAnsi"/>
          <w:color w:val="0B0C0C"/>
          <w:sz w:val="24"/>
          <w:szCs w:val="24"/>
        </w:rPr>
        <w:t xml:space="preserve"> </w:t>
      </w:r>
      <w:r w:rsidR="00C02385">
        <w:rPr>
          <w:rFonts w:asciiTheme="minorHAnsi" w:eastAsia="Times New Roman" w:hAnsiTheme="minorHAnsi" w:cstheme="minorHAnsi"/>
          <w:color w:val="0B0C0C"/>
          <w:sz w:val="24"/>
          <w:szCs w:val="24"/>
        </w:rPr>
        <w:t>Perhaps because the Prevent model fails</w:t>
      </w:r>
      <w:r w:rsidR="00A75C5D">
        <w:rPr>
          <w:rFonts w:asciiTheme="minorHAnsi" w:eastAsia="Times New Roman" w:hAnsiTheme="minorHAnsi" w:cstheme="minorHAnsi"/>
          <w:color w:val="0B0C0C"/>
          <w:sz w:val="24"/>
          <w:szCs w:val="24"/>
        </w:rPr>
        <w:t xml:space="preserve"> to adequately ascribe individual agency to potential violent extremists by relying </w:t>
      </w:r>
      <w:r w:rsidR="006F7DBD">
        <w:rPr>
          <w:rFonts w:asciiTheme="minorHAnsi" w:eastAsia="Times New Roman" w:hAnsiTheme="minorHAnsi" w:cstheme="minorHAnsi"/>
          <w:color w:val="0B0C0C"/>
          <w:sz w:val="24"/>
          <w:szCs w:val="24"/>
        </w:rPr>
        <w:t xml:space="preserve">so heavily </w:t>
      </w:r>
      <w:r w:rsidR="00A75C5D">
        <w:rPr>
          <w:rFonts w:asciiTheme="minorHAnsi" w:eastAsia="Times New Roman" w:hAnsiTheme="minorHAnsi" w:cstheme="minorHAnsi"/>
          <w:color w:val="0B0C0C"/>
          <w:sz w:val="24"/>
          <w:szCs w:val="24"/>
        </w:rPr>
        <w:t xml:space="preserve">on a </w:t>
      </w:r>
      <w:r w:rsidR="006F7DBD">
        <w:rPr>
          <w:rFonts w:asciiTheme="minorHAnsi" w:eastAsia="Times New Roman" w:hAnsiTheme="minorHAnsi" w:cstheme="minorHAnsi"/>
          <w:color w:val="0B0C0C"/>
          <w:sz w:val="24"/>
          <w:szCs w:val="24"/>
        </w:rPr>
        <w:t xml:space="preserve">vulnerability-based </w:t>
      </w:r>
      <w:r w:rsidR="00A75C5D">
        <w:rPr>
          <w:rFonts w:asciiTheme="minorHAnsi" w:eastAsia="Times New Roman" w:hAnsiTheme="minorHAnsi" w:cstheme="minorHAnsi"/>
          <w:color w:val="0B0C0C"/>
          <w:sz w:val="24"/>
          <w:szCs w:val="24"/>
        </w:rPr>
        <w:t>“</w:t>
      </w:r>
      <w:r w:rsidR="00A75C5D" w:rsidRPr="008709CF">
        <w:rPr>
          <w:rFonts w:asciiTheme="minorHAnsi" w:eastAsia="Times New Roman" w:hAnsiTheme="minorHAnsi" w:cstheme="minorHAnsi"/>
          <w:color w:val="0B0C0C"/>
          <w:sz w:val="24"/>
          <w:szCs w:val="24"/>
        </w:rPr>
        <w:t>grooming” narrative</w:t>
      </w:r>
      <w:r w:rsidR="006F7DBD" w:rsidRPr="008709CF">
        <w:rPr>
          <w:rFonts w:asciiTheme="minorHAnsi" w:eastAsia="Times New Roman" w:hAnsiTheme="minorHAnsi" w:cstheme="minorHAnsi"/>
          <w:color w:val="0B0C0C"/>
          <w:sz w:val="24"/>
          <w:szCs w:val="24"/>
        </w:rPr>
        <w:t>, it</w:t>
      </w:r>
      <w:r w:rsidR="00730D72" w:rsidRPr="008709CF">
        <w:rPr>
          <w:rFonts w:asciiTheme="minorHAnsi" w:eastAsia="Times New Roman" w:hAnsiTheme="minorHAnsi" w:cstheme="minorHAnsi"/>
          <w:color w:val="0B0C0C"/>
          <w:sz w:val="24"/>
          <w:szCs w:val="24"/>
        </w:rPr>
        <w:t xml:space="preserve"> </w:t>
      </w:r>
      <w:r w:rsidR="004D7870" w:rsidRPr="008709CF">
        <w:rPr>
          <w:rFonts w:asciiTheme="minorHAnsi" w:eastAsia="Times New Roman" w:hAnsiTheme="minorHAnsi" w:cstheme="minorHAnsi"/>
          <w:color w:val="0B0C0C"/>
          <w:sz w:val="24"/>
          <w:szCs w:val="24"/>
        </w:rPr>
        <w:t>appears to miss</w:t>
      </w:r>
      <w:r w:rsidR="006F7DBD" w:rsidRPr="008709CF">
        <w:rPr>
          <w:rFonts w:asciiTheme="minorHAnsi" w:eastAsia="Times New Roman" w:hAnsiTheme="minorHAnsi" w:cstheme="minorHAnsi"/>
          <w:color w:val="0B0C0C"/>
          <w:sz w:val="24"/>
          <w:szCs w:val="24"/>
        </w:rPr>
        <w:t xml:space="preserve"> </w:t>
      </w:r>
      <w:r w:rsidR="00D71373">
        <w:rPr>
          <w:rFonts w:asciiTheme="minorHAnsi" w:eastAsia="Times New Roman" w:hAnsiTheme="minorHAnsi" w:cstheme="minorHAnsi"/>
          <w:color w:val="0B0C0C"/>
          <w:sz w:val="24"/>
          <w:szCs w:val="24"/>
        </w:rPr>
        <w:t xml:space="preserve">some very </w:t>
      </w:r>
      <w:r w:rsidR="006F7DBD" w:rsidRPr="008709CF">
        <w:rPr>
          <w:rFonts w:asciiTheme="minorHAnsi" w:eastAsia="Times New Roman" w:hAnsiTheme="minorHAnsi" w:cstheme="minorHAnsi"/>
          <w:color w:val="0B0C0C"/>
          <w:sz w:val="24"/>
          <w:szCs w:val="24"/>
        </w:rPr>
        <w:t>real threats.</w:t>
      </w:r>
      <w:r w:rsidR="00A75C5D" w:rsidRPr="008709CF">
        <w:rPr>
          <w:rStyle w:val="FootnoteReference"/>
          <w:rFonts w:asciiTheme="minorHAnsi" w:eastAsia="Times New Roman" w:hAnsiTheme="minorHAnsi" w:cstheme="minorHAnsi"/>
          <w:color w:val="0B0C0C"/>
          <w:sz w:val="24"/>
          <w:szCs w:val="24"/>
        </w:rPr>
        <w:footnoteReference w:id="77"/>
      </w:r>
      <w:r w:rsidR="00A75C5D" w:rsidRPr="008709CF">
        <w:rPr>
          <w:rFonts w:asciiTheme="minorHAnsi" w:eastAsia="Times New Roman" w:hAnsiTheme="minorHAnsi" w:cstheme="minorHAnsi"/>
          <w:color w:val="0B0C0C"/>
          <w:sz w:val="24"/>
          <w:szCs w:val="24"/>
        </w:rPr>
        <w:t xml:space="preserve"> </w:t>
      </w:r>
      <w:r w:rsidR="006F7DBD" w:rsidRPr="008709CF">
        <w:rPr>
          <w:rFonts w:asciiTheme="minorHAnsi" w:eastAsia="Times New Roman" w:hAnsiTheme="minorHAnsi" w:cstheme="minorHAnsi"/>
          <w:color w:val="0B0C0C"/>
          <w:sz w:val="24"/>
          <w:szCs w:val="24"/>
        </w:rPr>
        <w:t xml:space="preserve">Not every </w:t>
      </w:r>
      <w:r w:rsidR="006C7BF6">
        <w:rPr>
          <w:rFonts w:asciiTheme="minorHAnsi" w:eastAsia="Times New Roman" w:hAnsiTheme="minorHAnsi" w:cstheme="minorHAnsi"/>
          <w:color w:val="0B0C0C"/>
          <w:sz w:val="24"/>
          <w:szCs w:val="24"/>
        </w:rPr>
        <w:t xml:space="preserve">potential </w:t>
      </w:r>
      <w:r w:rsidR="006F7DBD" w:rsidRPr="008709CF">
        <w:rPr>
          <w:rFonts w:asciiTheme="minorHAnsi" w:eastAsia="Times New Roman" w:hAnsiTheme="minorHAnsi" w:cstheme="minorHAnsi"/>
          <w:color w:val="0B0C0C"/>
          <w:sz w:val="24"/>
          <w:szCs w:val="24"/>
        </w:rPr>
        <w:t xml:space="preserve">violent extremist presents as </w:t>
      </w:r>
      <w:r w:rsidR="00D742F5">
        <w:rPr>
          <w:rFonts w:asciiTheme="minorHAnsi" w:eastAsia="Times New Roman" w:hAnsiTheme="minorHAnsi" w:cstheme="minorHAnsi"/>
          <w:color w:val="0B0C0C"/>
          <w:sz w:val="24"/>
          <w:szCs w:val="24"/>
        </w:rPr>
        <w:t>being vulnerable</w:t>
      </w:r>
      <w:r w:rsidR="006F7DBD" w:rsidRPr="008709CF">
        <w:rPr>
          <w:rFonts w:asciiTheme="minorHAnsi" w:eastAsia="Times New Roman" w:hAnsiTheme="minorHAnsi" w:cstheme="minorHAnsi"/>
          <w:color w:val="0B0C0C"/>
          <w:sz w:val="24"/>
          <w:szCs w:val="24"/>
        </w:rPr>
        <w:t xml:space="preserve">. </w:t>
      </w:r>
      <w:r w:rsidR="00D742F5">
        <w:rPr>
          <w:rFonts w:asciiTheme="minorHAnsi" w:eastAsia="Times New Roman" w:hAnsiTheme="minorHAnsi" w:cstheme="minorHAnsi"/>
          <w:color w:val="0B0C0C"/>
          <w:sz w:val="24"/>
          <w:szCs w:val="24"/>
        </w:rPr>
        <w:t>S</w:t>
      </w:r>
      <w:r w:rsidR="0065306E" w:rsidRPr="008709CF">
        <w:rPr>
          <w:rFonts w:asciiTheme="minorHAnsi" w:eastAsia="Times New Roman" w:hAnsiTheme="minorHAnsi" w:cstheme="minorHAnsi"/>
          <w:color w:val="0B0C0C"/>
          <w:sz w:val="24"/>
          <w:szCs w:val="24"/>
        </w:rPr>
        <w:t xml:space="preserve">ome individuals – like </w:t>
      </w:r>
      <w:r w:rsidR="008709CF" w:rsidRPr="008709CF">
        <w:rPr>
          <w:rFonts w:asciiTheme="minorHAnsi" w:hAnsiTheme="minorHAnsi" w:cstheme="minorHAnsi"/>
          <w:color w:val="000000" w:themeColor="text1"/>
          <w:sz w:val="24"/>
          <w:szCs w:val="24"/>
        </w:rPr>
        <w:t xml:space="preserve">Sir David Amess’ killer </w:t>
      </w:r>
      <w:r w:rsidR="0065306E" w:rsidRPr="008709CF">
        <w:rPr>
          <w:rFonts w:asciiTheme="minorHAnsi" w:hAnsiTheme="minorHAnsi" w:cstheme="minorHAnsi"/>
          <w:color w:val="000000" w:themeColor="text1"/>
          <w:sz w:val="24"/>
          <w:szCs w:val="24"/>
        </w:rPr>
        <w:t xml:space="preserve">Ali Harbi Ali  – are </w:t>
      </w:r>
      <w:r w:rsidR="00D742F5">
        <w:rPr>
          <w:rFonts w:asciiTheme="minorHAnsi" w:hAnsiTheme="minorHAnsi" w:cstheme="minorHAnsi"/>
          <w:color w:val="000000" w:themeColor="text1"/>
          <w:sz w:val="24"/>
          <w:szCs w:val="24"/>
        </w:rPr>
        <w:t xml:space="preserve">more than </w:t>
      </w:r>
      <w:r w:rsidR="0065306E" w:rsidRPr="008709CF">
        <w:rPr>
          <w:rFonts w:asciiTheme="minorHAnsi" w:hAnsiTheme="minorHAnsi" w:cstheme="minorHAnsi"/>
          <w:color w:val="000000" w:themeColor="text1"/>
          <w:sz w:val="24"/>
          <w:szCs w:val="24"/>
        </w:rPr>
        <w:t xml:space="preserve">capable of living a double life and presenting one face to the world around them while harboring very different views in private. </w:t>
      </w:r>
      <w:proofErr w:type="spellStart"/>
      <w:r w:rsidR="0065306E" w:rsidRPr="008709CF">
        <w:rPr>
          <w:rFonts w:asciiTheme="minorHAnsi" w:hAnsiTheme="minorHAnsi" w:cstheme="minorHAnsi"/>
          <w:color w:val="000000" w:themeColor="text1"/>
          <w:sz w:val="24"/>
          <w:szCs w:val="24"/>
        </w:rPr>
        <w:t>Roshonara</w:t>
      </w:r>
      <w:proofErr w:type="spellEnd"/>
      <w:r w:rsidR="0065306E" w:rsidRPr="008709CF">
        <w:rPr>
          <w:rFonts w:asciiTheme="minorHAnsi" w:hAnsiTheme="minorHAnsi" w:cstheme="minorHAnsi"/>
          <w:color w:val="000000" w:themeColor="text1"/>
          <w:sz w:val="24"/>
          <w:szCs w:val="24"/>
        </w:rPr>
        <w:t xml:space="preserve"> Choudhry, a promising 21-year-old university student who had walked away from her studies at </w:t>
      </w:r>
      <w:r w:rsidR="006F7DBD" w:rsidRPr="008709CF">
        <w:rPr>
          <w:rFonts w:asciiTheme="minorHAnsi" w:hAnsiTheme="minorHAnsi" w:cstheme="minorHAnsi"/>
          <w:color w:val="000000" w:themeColor="text1"/>
          <w:sz w:val="24"/>
          <w:szCs w:val="24"/>
        </w:rPr>
        <w:t xml:space="preserve">a </w:t>
      </w:r>
      <w:r w:rsidR="0065306E" w:rsidRPr="008709CF">
        <w:rPr>
          <w:rFonts w:asciiTheme="minorHAnsi" w:hAnsiTheme="minorHAnsi" w:cstheme="minorHAnsi"/>
          <w:color w:val="000000" w:themeColor="text1"/>
          <w:sz w:val="24"/>
          <w:szCs w:val="24"/>
        </w:rPr>
        <w:t xml:space="preserve">leading London university shortly before stabbing and severely wounding </w:t>
      </w:r>
      <w:proofErr w:type="spellStart"/>
      <w:r w:rsidR="0065306E" w:rsidRPr="008709CF">
        <w:rPr>
          <w:rFonts w:asciiTheme="minorHAnsi" w:hAnsiTheme="minorHAnsi" w:cstheme="minorHAnsi"/>
          <w:color w:val="000000" w:themeColor="text1"/>
          <w:sz w:val="24"/>
          <w:szCs w:val="24"/>
        </w:rPr>
        <w:t>Labour</w:t>
      </w:r>
      <w:proofErr w:type="spellEnd"/>
      <w:r w:rsidR="0065306E" w:rsidRPr="008709CF">
        <w:rPr>
          <w:rFonts w:asciiTheme="minorHAnsi" w:hAnsiTheme="minorHAnsi" w:cstheme="minorHAnsi"/>
          <w:color w:val="000000" w:themeColor="text1"/>
          <w:sz w:val="24"/>
          <w:szCs w:val="24"/>
        </w:rPr>
        <w:t xml:space="preserve"> MP Stephen Timms at </w:t>
      </w:r>
      <w:r w:rsidR="008709CF">
        <w:rPr>
          <w:rFonts w:asciiTheme="minorHAnsi" w:hAnsiTheme="minorHAnsi" w:cstheme="minorHAnsi"/>
          <w:color w:val="000000" w:themeColor="text1"/>
          <w:sz w:val="24"/>
          <w:szCs w:val="24"/>
        </w:rPr>
        <w:t xml:space="preserve">a </w:t>
      </w:r>
      <w:r w:rsidR="0065306E" w:rsidRPr="008709CF">
        <w:rPr>
          <w:rFonts w:asciiTheme="minorHAnsi" w:hAnsiTheme="minorHAnsi" w:cstheme="minorHAnsi"/>
          <w:color w:val="000000" w:themeColor="text1"/>
          <w:sz w:val="24"/>
          <w:szCs w:val="24"/>
        </w:rPr>
        <w:t xml:space="preserve">constituency </w:t>
      </w:r>
      <w:r w:rsidR="008709CF">
        <w:rPr>
          <w:rFonts w:asciiTheme="minorHAnsi" w:hAnsiTheme="minorHAnsi" w:cstheme="minorHAnsi"/>
          <w:color w:val="000000" w:themeColor="text1"/>
          <w:sz w:val="24"/>
          <w:szCs w:val="24"/>
        </w:rPr>
        <w:t>surgery</w:t>
      </w:r>
      <w:r w:rsidR="0065306E" w:rsidRPr="008709CF">
        <w:rPr>
          <w:rFonts w:asciiTheme="minorHAnsi" w:hAnsiTheme="minorHAnsi" w:cstheme="minorHAnsi"/>
          <w:color w:val="000000" w:themeColor="text1"/>
          <w:sz w:val="24"/>
          <w:szCs w:val="24"/>
        </w:rPr>
        <w:t xml:space="preserve"> in</w:t>
      </w:r>
      <w:r w:rsidR="008709CF">
        <w:rPr>
          <w:rFonts w:asciiTheme="minorHAnsi" w:hAnsiTheme="minorHAnsi" w:cstheme="minorHAnsi"/>
          <w:color w:val="000000" w:themeColor="text1"/>
          <w:sz w:val="24"/>
          <w:szCs w:val="24"/>
        </w:rPr>
        <w:t xml:space="preserve"> May 2010</w:t>
      </w:r>
      <w:r w:rsidR="0065306E" w:rsidRPr="008709CF">
        <w:rPr>
          <w:rFonts w:asciiTheme="minorHAnsi" w:hAnsiTheme="minorHAnsi" w:cstheme="minorHAnsi"/>
          <w:color w:val="000000" w:themeColor="text1"/>
          <w:sz w:val="24"/>
          <w:szCs w:val="24"/>
        </w:rPr>
        <w:t xml:space="preserve">, told police officers after her arrest: “I didn’t </w:t>
      </w:r>
      <w:proofErr w:type="spellStart"/>
      <w:r w:rsidR="0065306E" w:rsidRPr="008709CF">
        <w:rPr>
          <w:rFonts w:asciiTheme="minorHAnsi" w:hAnsiTheme="minorHAnsi" w:cstheme="minorHAnsi"/>
          <w:color w:val="000000" w:themeColor="text1"/>
          <w:sz w:val="24"/>
          <w:szCs w:val="24"/>
        </w:rPr>
        <w:t>wanna</w:t>
      </w:r>
      <w:proofErr w:type="spellEnd"/>
      <w:r w:rsidR="0065306E" w:rsidRPr="008709CF">
        <w:rPr>
          <w:rFonts w:asciiTheme="minorHAnsi" w:hAnsiTheme="minorHAnsi" w:cstheme="minorHAnsi"/>
          <w:color w:val="000000" w:themeColor="text1"/>
          <w:sz w:val="24"/>
          <w:szCs w:val="24"/>
        </w:rPr>
        <w:t xml:space="preserve"> tell anyone because I know that if anybody else</w:t>
      </w:r>
      <w:r w:rsidR="0065306E" w:rsidRPr="00A0370D">
        <w:rPr>
          <w:rFonts w:asciiTheme="minorHAnsi" w:hAnsiTheme="minorHAnsi" w:cstheme="minorHAnsi"/>
          <w:color w:val="000000" w:themeColor="text1"/>
          <w:sz w:val="24"/>
          <w:szCs w:val="24"/>
        </w:rPr>
        <w:t xml:space="preserve"> knew, they’d get into trouble ‘cos then they would be like implicated in whatever I do, so I kept it secret.”</w:t>
      </w:r>
      <w:r w:rsidR="0065306E" w:rsidRPr="00A0370D">
        <w:rPr>
          <w:rStyle w:val="FootnoteReference"/>
          <w:rFonts w:asciiTheme="minorHAnsi" w:hAnsiTheme="minorHAnsi" w:cstheme="minorHAnsi"/>
          <w:color w:val="000000" w:themeColor="text1"/>
          <w:sz w:val="24"/>
          <w:szCs w:val="24"/>
        </w:rPr>
        <w:footnoteReference w:id="78"/>
      </w:r>
      <w:r w:rsidR="0065306E" w:rsidRPr="00A0370D">
        <w:rPr>
          <w:rFonts w:asciiTheme="minorHAnsi" w:hAnsiTheme="minorHAnsi" w:cstheme="minorHAnsi"/>
          <w:color w:val="000000" w:themeColor="text1"/>
          <w:sz w:val="24"/>
          <w:szCs w:val="24"/>
        </w:rPr>
        <w:t xml:space="preserve"> </w:t>
      </w:r>
      <w:r w:rsidR="0065306E" w:rsidRPr="00A0370D">
        <w:rPr>
          <w:rFonts w:asciiTheme="minorHAnsi" w:eastAsia="Times New Roman" w:hAnsiTheme="minorHAnsi" w:cstheme="minorHAnsi"/>
          <w:color w:val="121212"/>
          <w:sz w:val="24"/>
          <w:szCs w:val="24"/>
          <w:shd w:val="clear" w:color="auto" w:fill="FFFFFF"/>
        </w:rPr>
        <w:t xml:space="preserve">When </w:t>
      </w:r>
      <w:proofErr w:type="spellStart"/>
      <w:r w:rsidR="0065306E" w:rsidRPr="00A0370D">
        <w:rPr>
          <w:rFonts w:asciiTheme="minorHAnsi" w:eastAsia="Times New Roman" w:hAnsiTheme="minorHAnsi" w:cstheme="minorHAnsi"/>
          <w:color w:val="121212"/>
          <w:sz w:val="24"/>
          <w:szCs w:val="24"/>
          <w:shd w:val="clear" w:color="auto" w:fill="FFFFFF"/>
        </w:rPr>
        <w:t>Roshonara</w:t>
      </w:r>
      <w:proofErr w:type="spellEnd"/>
      <w:r w:rsidR="0065306E" w:rsidRPr="00A0370D">
        <w:rPr>
          <w:rFonts w:asciiTheme="minorHAnsi" w:eastAsia="Times New Roman" w:hAnsiTheme="minorHAnsi" w:cstheme="minorHAnsi"/>
          <w:color w:val="121212"/>
          <w:sz w:val="24"/>
          <w:szCs w:val="24"/>
          <w:shd w:val="clear" w:color="auto" w:fill="FFFFFF"/>
        </w:rPr>
        <w:t xml:space="preserve"> Choudhry was asked by police officers who had pushed toward watching sermons by US-born Al Qaeda in the Arabian Peninsula theologian Anwar al-Awlaki, she replied: “No one, I just found them really interesting ... I became interested in Anwar al-Awlaki's lectures because he explains things really comprehensively and in an interesting way </w:t>
      </w:r>
      <w:r w:rsidR="0065306E" w:rsidRPr="00A0370D">
        <w:rPr>
          <w:rFonts w:asciiTheme="minorHAnsi" w:eastAsia="Times New Roman" w:hAnsiTheme="minorHAnsi" w:cstheme="minorHAnsi"/>
          <w:color w:val="121212"/>
          <w:sz w:val="24"/>
          <w:szCs w:val="24"/>
          <w:shd w:val="clear" w:color="auto" w:fill="FFFFFF"/>
        </w:rPr>
        <w:lastRenderedPageBreak/>
        <w:t>so I thought I could learn a lot from him and I was also surprised at how little I knew about my religion so that motivated me to learn more.”</w:t>
      </w:r>
      <w:r w:rsidR="0065306E" w:rsidRPr="00A0370D">
        <w:rPr>
          <w:rStyle w:val="FootnoteReference"/>
          <w:rFonts w:asciiTheme="minorHAnsi" w:eastAsia="Times New Roman" w:hAnsiTheme="minorHAnsi" w:cstheme="minorHAnsi"/>
          <w:color w:val="121212"/>
          <w:sz w:val="24"/>
          <w:szCs w:val="24"/>
          <w:shd w:val="clear" w:color="auto" w:fill="FFFFFF"/>
        </w:rPr>
        <w:footnoteReference w:id="79"/>
      </w:r>
      <w:r w:rsidR="00874819">
        <w:rPr>
          <w:rFonts w:asciiTheme="minorHAnsi" w:eastAsia="Times New Roman" w:hAnsiTheme="minorHAnsi" w:cstheme="minorHAnsi"/>
          <w:color w:val="121212"/>
          <w:sz w:val="24"/>
          <w:szCs w:val="24"/>
          <w:shd w:val="clear" w:color="auto" w:fill="FFFFFF"/>
        </w:rPr>
        <w:t xml:space="preserve"> </w:t>
      </w:r>
      <w:proofErr w:type="spellStart"/>
      <w:r w:rsidR="00D742F5">
        <w:rPr>
          <w:rFonts w:asciiTheme="minorHAnsi" w:eastAsia="Times New Roman" w:hAnsiTheme="minorHAnsi" w:cstheme="minorHAnsi"/>
          <w:color w:val="121212"/>
          <w:sz w:val="24"/>
          <w:szCs w:val="24"/>
          <w:shd w:val="clear" w:color="auto" w:fill="FFFFFF"/>
        </w:rPr>
        <w:t>Roshonara</w:t>
      </w:r>
      <w:proofErr w:type="spellEnd"/>
      <w:r w:rsidR="00D742F5">
        <w:rPr>
          <w:rFonts w:asciiTheme="minorHAnsi" w:eastAsia="Times New Roman" w:hAnsiTheme="minorHAnsi" w:cstheme="minorHAnsi"/>
          <w:color w:val="121212"/>
          <w:sz w:val="24"/>
          <w:szCs w:val="24"/>
          <w:shd w:val="clear" w:color="auto" w:fill="FFFFFF"/>
        </w:rPr>
        <w:t xml:space="preserve"> was completely unknown to the authorities when she launched her attack.</w:t>
      </w:r>
    </w:p>
    <w:p w14:paraId="543F84BC" w14:textId="23D3F27F" w:rsidR="004D7870" w:rsidRPr="00930FD8" w:rsidRDefault="004D7870" w:rsidP="002439AF">
      <w:pPr>
        <w:jc w:val="both"/>
        <w:rPr>
          <w:rFonts w:asciiTheme="minorHAnsi" w:hAnsiTheme="minorHAnsi" w:cstheme="minorHAnsi"/>
          <w:shd w:val="clear" w:color="auto" w:fill="FFFFFF"/>
        </w:rPr>
      </w:pPr>
    </w:p>
    <w:p w14:paraId="21E50BB0" w14:textId="320B47AA" w:rsidR="00A44F62" w:rsidRPr="00930FD8" w:rsidRDefault="00574A36" w:rsidP="00AF4FF8">
      <w:pPr>
        <w:jc w:val="both"/>
        <w:rPr>
          <w:rFonts w:asciiTheme="minorHAnsi" w:hAnsiTheme="minorHAnsi" w:cstheme="minorHAnsi"/>
          <w:color w:val="141414"/>
          <w:shd w:val="clear" w:color="auto" w:fill="FFFFFF"/>
        </w:rPr>
      </w:pPr>
      <w:r w:rsidRPr="00930FD8">
        <w:rPr>
          <w:rFonts w:asciiTheme="minorHAnsi" w:hAnsiTheme="minorHAnsi" w:cstheme="minorHAnsi"/>
          <w:shd w:val="clear" w:color="auto" w:fill="FFFFFF"/>
        </w:rPr>
        <w:t>We also have the case</w:t>
      </w:r>
      <w:r w:rsidR="003E0B8B" w:rsidRPr="00930FD8">
        <w:rPr>
          <w:rFonts w:asciiTheme="minorHAnsi" w:hAnsiTheme="minorHAnsi" w:cstheme="minorHAnsi"/>
          <w:shd w:val="clear" w:color="auto" w:fill="FFFFFF"/>
        </w:rPr>
        <w:t xml:space="preserve"> of</w:t>
      </w:r>
      <w:r w:rsidR="004D7870" w:rsidRPr="00930FD8">
        <w:rPr>
          <w:rFonts w:asciiTheme="minorHAnsi" w:hAnsiTheme="minorHAnsi" w:cstheme="minorHAnsi"/>
          <w:shd w:val="clear" w:color="auto" w:fill="FFFFFF"/>
        </w:rPr>
        <w:t xml:space="preserve"> </w:t>
      </w:r>
      <w:r w:rsidR="004647A8" w:rsidRPr="00930FD8">
        <w:rPr>
          <w:rFonts w:asciiTheme="minorHAnsi" w:hAnsiTheme="minorHAnsi" w:cstheme="minorHAnsi"/>
          <w:color w:val="141414"/>
          <w:bdr w:val="none" w:sz="0" w:space="0" w:color="auto" w:frame="1"/>
        </w:rPr>
        <w:t>22-year-old Salman Ramadan Abedi</w:t>
      </w:r>
      <w:r w:rsidR="0083701E" w:rsidRPr="00930FD8">
        <w:rPr>
          <w:rFonts w:asciiTheme="minorHAnsi" w:hAnsiTheme="minorHAnsi" w:cstheme="minorHAnsi"/>
          <w:color w:val="141414"/>
          <w:bdr w:val="none" w:sz="0" w:space="0" w:color="auto" w:frame="1"/>
        </w:rPr>
        <w:t>,</w:t>
      </w:r>
      <w:r w:rsidR="004647A8" w:rsidRPr="00930FD8">
        <w:rPr>
          <w:rFonts w:asciiTheme="minorHAnsi" w:hAnsiTheme="minorHAnsi" w:cstheme="minorHAnsi"/>
          <w:color w:val="141414"/>
          <w:bdr w:val="none" w:sz="0" w:space="0" w:color="auto" w:frame="1"/>
        </w:rPr>
        <w:t xml:space="preserve"> who detonated a suicide bomb outside the Manchester Arena in May 2017 killing </w:t>
      </w:r>
      <w:r w:rsidR="0083701E" w:rsidRPr="00930FD8">
        <w:rPr>
          <w:rFonts w:asciiTheme="minorHAnsi" w:hAnsiTheme="minorHAnsi" w:cstheme="minorHAnsi"/>
          <w:color w:val="141414"/>
          <w:bdr w:val="none" w:sz="0" w:space="0" w:color="auto" w:frame="1"/>
        </w:rPr>
        <w:t>22 people and wounding 250 others</w:t>
      </w:r>
      <w:r w:rsidRPr="00930FD8">
        <w:rPr>
          <w:rFonts w:asciiTheme="minorHAnsi" w:hAnsiTheme="minorHAnsi" w:cstheme="minorHAnsi"/>
          <w:color w:val="141414"/>
          <w:bdr w:val="none" w:sz="0" w:space="0" w:color="auto" w:frame="1"/>
        </w:rPr>
        <w:t>.</w:t>
      </w:r>
      <w:r w:rsidR="0083701E" w:rsidRPr="00930FD8">
        <w:rPr>
          <w:rFonts w:asciiTheme="minorHAnsi" w:hAnsiTheme="minorHAnsi" w:cstheme="minorHAnsi"/>
          <w:color w:val="141414"/>
          <w:bdr w:val="none" w:sz="0" w:space="0" w:color="auto" w:frame="1"/>
        </w:rPr>
        <w:t xml:space="preserve"> </w:t>
      </w:r>
      <w:r w:rsidR="00504EEC" w:rsidRPr="00930FD8">
        <w:rPr>
          <w:rFonts w:asciiTheme="minorHAnsi" w:hAnsiTheme="minorHAnsi" w:cstheme="minorHAnsi"/>
          <w:color w:val="141414"/>
          <w:bdr w:val="none" w:sz="0" w:space="0" w:color="auto" w:frame="1"/>
        </w:rPr>
        <w:t xml:space="preserve">Abedi </w:t>
      </w:r>
      <w:r w:rsidR="00504EEC" w:rsidRPr="00930FD8">
        <w:rPr>
          <w:rFonts w:asciiTheme="minorHAnsi" w:hAnsiTheme="minorHAnsi" w:cstheme="minorHAnsi"/>
          <w:color w:val="141414"/>
          <w:shd w:val="clear" w:color="auto" w:fill="FFFFFF"/>
        </w:rPr>
        <w:t xml:space="preserve">attended Burnage Academy for Boys, Manchester College, and Salford University. However, </w:t>
      </w:r>
      <w:r w:rsidR="003E0B8B" w:rsidRPr="00930FD8">
        <w:rPr>
          <w:rFonts w:asciiTheme="minorHAnsi" w:hAnsiTheme="minorHAnsi" w:cstheme="minorHAnsi"/>
          <w:color w:val="141414"/>
          <w:bdr w:val="none" w:sz="0" w:space="0" w:color="auto" w:frame="1"/>
        </w:rPr>
        <w:t>despite multiple potential red flags</w:t>
      </w:r>
      <w:r w:rsidRPr="00930FD8">
        <w:rPr>
          <w:rFonts w:asciiTheme="minorHAnsi" w:hAnsiTheme="minorHAnsi" w:cstheme="minorHAnsi"/>
          <w:color w:val="141414"/>
          <w:bdr w:val="none" w:sz="0" w:space="0" w:color="auto" w:frame="1"/>
        </w:rPr>
        <w:t>,</w:t>
      </w:r>
      <w:r w:rsidR="003E0B8B" w:rsidRPr="00930FD8">
        <w:rPr>
          <w:rFonts w:asciiTheme="minorHAnsi" w:hAnsiTheme="minorHAnsi" w:cstheme="minorHAnsi"/>
          <w:color w:val="141414"/>
          <w:bdr w:val="none" w:sz="0" w:space="0" w:color="auto" w:frame="1"/>
        </w:rPr>
        <w:t xml:space="preserve"> Abedi escaped meaningful attention from the authorities</w:t>
      </w:r>
      <w:r w:rsidR="0083701E" w:rsidRPr="00930FD8">
        <w:rPr>
          <w:rFonts w:asciiTheme="minorHAnsi" w:hAnsiTheme="minorHAnsi" w:cstheme="minorHAnsi"/>
          <w:color w:val="141414"/>
          <w:bdr w:val="none" w:sz="0" w:space="0" w:color="auto" w:frame="1"/>
        </w:rPr>
        <w:t>.</w:t>
      </w:r>
      <w:r w:rsidR="004647A8" w:rsidRPr="00930FD8">
        <w:rPr>
          <w:rFonts w:asciiTheme="minorHAnsi" w:hAnsiTheme="minorHAnsi" w:cstheme="minorHAnsi"/>
          <w:color w:val="141414"/>
          <w:bdr w:val="none" w:sz="0" w:space="0" w:color="auto" w:frame="1"/>
        </w:rPr>
        <w:t xml:space="preserve"> </w:t>
      </w:r>
      <w:r w:rsidR="003E0B8B" w:rsidRPr="00930FD8">
        <w:rPr>
          <w:rFonts w:asciiTheme="minorHAnsi" w:hAnsiTheme="minorHAnsi" w:cstheme="minorHAnsi"/>
          <w:color w:val="141414"/>
          <w:shd w:val="clear" w:color="auto" w:fill="FFFFFF"/>
        </w:rPr>
        <w:t xml:space="preserve">Secret testimony </w:t>
      </w:r>
      <w:r w:rsidR="00504EEC" w:rsidRPr="00930FD8">
        <w:rPr>
          <w:rFonts w:asciiTheme="minorHAnsi" w:hAnsiTheme="minorHAnsi" w:cstheme="minorHAnsi"/>
          <w:color w:val="141414"/>
          <w:shd w:val="clear" w:color="auto" w:fill="FFFFFF"/>
        </w:rPr>
        <w:t xml:space="preserve">delivered </w:t>
      </w:r>
      <w:r w:rsidR="003E0B8B" w:rsidRPr="00930FD8">
        <w:rPr>
          <w:rFonts w:asciiTheme="minorHAnsi" w:hAnsiTheme="minorHAnsi" w:cstheme="minorHAnsi"/>
          <w:color w:val="141414"/>
          <w:shd w:val="clear" w:color="auto" w:fill="FFFFFF"/>
        </w:rPr>
        <w:t xml:space="preserve">before the Public Inquiry </w:t>
      </w:r>
      <w:r w:rsidR="00DF1560" w:rsidRPr="00930FD8">
        <w:rPr>
          <w:rFonts w:asciiTheme="minorHAnsi" w:hAnsiTheme="minorHAnsi" w:cstheme="minorHAnsi"/>
          <w:color w:val="141414"/>
          <w:shd w:val="clear" w:color="auto" w:fill="FFFFFF"/>
        </w:rPr>
        <w:t xml:space="preserve">initiated </w:t>
      </w:r>
      <w:r w:rsidR="003E0B8B" w:rsidRPr="00930FD8">
        <w:rPr>
          <w:rFonts w:asciiTheme="minorHAnsi" w:hAnsiTheme="minorHAnsi" w:cstheme="minorHAnsi"/>
          <w:color w:val="141414"/>
          <w:shd w:val="clear" w:color="auto" w:fill="FFFFFF"/>
        </w:rPr>
        <w:t xml:space="preserve">into the events surrounding the Manchester Arena attack </w:t>
      </w:r>
      <w:r w:rsidR="00D119D0">
        <w:rPr>
          <w:rFonts w:asciiTheme="minorHAnsi" w:hAnsiTheme="minorHAnsi" w:cstheme="minorHAnsi"/>
          <w:color w:val="141414"/>
          <w:shd w:val="clear" w:color="auto" w:fill="FFFFFF"/>
        </w:rPr>
        <w:t xml:space="preserve">[still ongoing at the time of writing] </w:t>
      </w:r>
      <w:r w:rsidR="003E0B8B" w:rsidRPr="00930FD8">
        <w:rPr>
          <w:rFonts w:asciiTheme="minorHAnsi" w:hAnsiTheme="minorHAnsi" w:cstheme="minorHAnsi"/>
          <w:color w:val="141414"/>
          <w:shd w:val="clear" w:color="auto" w:fill="FFFFFF"/>
        </w:rPr>
        <w:t xml:space="preserve">has established that Abedi had come to the </w:t>
      </w:r>
      <w:r w:rsidR="004A1B12" w:rsidRPr="00930FD8">
        <w:rPr>
          <w:rFonts w:asciiTheme="minorHAnsi" w:hAnsiTheme="minorHAnsi" w:cstheme="minorHAnsi"/>
          <w:color w:val="141414"/>
          <w:shd w:val="clear" w:color="auto" w:fill="FFFFFF"/>
        </w:rPr>
        <w:t>notice</w:t>
      </w:r>
      <w:r w:rsidR="003E0B8B" w:rsidRPr="00930FD8">
        <w:rPr>
          <w:rFonts w:asciiTheme="minorHAnsi" w:hAnsiTheme="minorHAnsi" w:cstheme="minorHAnsi"/>
          <w:color w:val="141414"/>
          <w:shd w:val="clear" w:color="auto" w:fill="FFFFFF"/>
        </w:rPr>
        <w:t xml:space="preserve"> of the British Security Service (MI5) on several occasions in the years before the attack</w:t>
      </w:r>
      <w:r w:rsidR="002439AF" w:rsidRPr="00930FD8">
        <w:rPr>
          <w:rFonts w:asciiTheme="minorHAnsi" w:hAnsiTheme="minorHAnsi" w:cstheme="minorHAnsi"/>
          <w:color w:val="141414"/>
          <w:shd w:val="clear" w:color="auto" w:fill="FFFFFF"/>
        </w:rPr>
        <w:t xml:space="preserve">, </w:t>
      </w:r>
      <w:r w:rsidR="00504EEC" w:rsidRPr="00930FD8">
        <w:rPr>
          <w:rFonts w:asciiTheme="minorHAnsi" w:hAnsiTheme="minorHAnsi" w:cstheme="minorHAnsi"/>
          <w:color w:val="141414"/>
          <w:shd w:val="clear" w:color="auto" w:fill="FFFFFF"/>
        </w:rPr>
        <w:t xml:space="preserve">that he </w:t>
      </w:r>
      <w:r w:rsidR="002439AF" w:rsidRPr="00930FD8">
        <w:rPr>
          <w:rFonts w:asciiTheme="minorHAnsi" w:hAnsiTheme="minorHAnsi" w:cstheme="minorHAnsi"/>
          <w:color w:val="141414"/>
          <w:shd w:val="clear" w:color="auto" w:fill="FFFFFF"/>
        </w:rPr>
        <w:t xml:space="preserve">was known to be in contact with convicted terrorist recruiter </w:t>
      </w:r>
      <w:proofErr w:type="spellStart"/>
      <w:r w:rsidR="002439AF" w:rsidRPr="00930FD8">
        <w:rPr>
          <w:rFonts w:asciiTheme="minorHAnsi" w:hAnsiTheme="minorHAnsi" w:cstheme="minorHAnsi"/>
          <w:shd w:val="clear" w:color="auto" w:fill="FFFFFF"/>
        </w:rPr>
        <w:t>Abdalraouf</w:t>
      </w:r>
      <w:proofErr w:type="spellEnd"/>
      <w:r w:rsidR="002439AF" w:rsidRPr="00930FD8">
        <w:rPr>
          <w:rFonts w:asciiTheme="minorHAnsi" w:hAnsiTheme="minorHAnsi" w:cstheme="minorHAnsi"/>
          <w:shd w:val="clear" w:color="auto" w:fill="FFFFFF"/>
        </w:rPr>
        <w:t xml:space="preserve"> Abdallah</w:t>
      </w:r>
      <w:r w:rsidR="002439AF" w:rsidRPr="00930FD8">
        <w:rPr>
          <w:rFonts w:asciiTheme="minorHAnsi" w:hAnsiTheme="minorHAnsi" w:cstheme="minorHAnsi"/>
          <w:color w:val="141414"/>
          <w:shd w:val="clear" w:color="auto" w:fill="FFFFFF"/>
        </w:rPr>
        <w:t>,</w:t>
      </w:r>
      <w:r w:rsidR="003E0B8B" w:rsidRPr="00930FD8">
        <w:rPr>
          <w:rFonts w:asciiTheme="minorHAnsi" w:hAnsiTheme="minorHAnsi" w:cstheme="minorHAnsi"/>
          <w:color w:val="141414"/>
          <w:shd w:val="clear" w:color="auto" w:fill="FFFFFF"/>
        </w:rPr>
        <w:t xml:space="preserve"> </w:t>
      </w:r>
      <w:r w:rsidR="00504EEC" w:rsidRPr="00930FD8">
        <w:rPr>
          <w:rFonts w:asciiTheme="minorHAnsi" w:hAnsiTheme="minorHAnsi" w:cstheme="minorHAnsi"/>
          <w:color w:val="141414"/>
          <w:shd w:val="clear" w:color="auto" w:fill="FFFFFF"/>
        </w:rPr>
        <w:t>that he had</w:t>
      </w:r>
      <w:r w:rsidRPr="00930FD8">
        <w:rPr>
          <w:rFonts w:asciiTheme="minorHAnsi" w:hAnsiTheme="minorHAnsi" w:cstheme="minorHAnsi"/>
          <w:color w:val="141414"/>
          <w:shd w:val="clear" w:color="auto" w:fill="FFFFFF"/>
        </w:rPr>
        <w:t xml:space="preserve"> travelled to Libya </w:t>
      </w:r>
      <w:r w:rsidR="00504EEC" w:rsidRPr="00930FD8">
        <w:rPr>
          <w:rFonts w:asciiTheme="minorHAnsi" w:hAnsiTheme="minorHAnsi" w:cstheme="minorHAnsi"/>
          <w:color w:val="141414"/>
          <w:shd w:val="clear" w:color="auto" w:fill="FFFFFF"/>
        </w:rPr>
        <w:t xml:space="preserve">to participate in the fighting that followed the </w:t>
      </w:r>
      <w:r w:rsidRPr="00930FD8">
        <w:rPr>
          <w:rFonts w:asciiTheme="minorHAnsi" w:hAnsiTheme="minorHAnsi" w:cstheme="minorHAnsi"/>
          <w:color w:val="141414"/>
          <w:shd w:val="clear" w:color="auto" w:fill="FFFFFF"/>
        </w:rPr>
        <w:t xml:space="preserve"> collapse of Colonel Gaddafi’s regime, </w:t>
      </w:r>
      <w:r w:rsidR="003E0B8B" w:rsidRPr="00930FD8">
        <w:rPr>
          <w:rFonts w:asciiTheme="minorHAnsi" w:hAnsiTheme="minorHAnsi" w:cstheme="minorHAnsi"/>
          <w:color w:val="141414"/>
          <w:shd w:val="clear" w:color="auto" w:fill="FFFFFF"/>
        </w:rPr>
        <w:t xml:space="preserve">and </w:t>
      </w:r>
      <w:r w:rsidR="00504EEC" w:rsidRPr="00930FD8">
        <w:rPr>
          <w:rFonts w:asciiTheme="minorHAnsi" w:hAnsiTheme="minorHAnsi" w:cstheme="minorHAnsi"/>
          <w:color w:val="141414"/>
          <w:shd w:val="clear" w:color="auto" w:fill="FFFFFF"/>
        </w:rPr>
        <w:t xml:space="preserve">that </w:t>
      </w:r>
      <w:r w:rsidR="003E0B8B" w:rsidRPr="00930FD8">
        <w:rPr>
          <w:rFonts w:asciiTheme="minorHAnsi" w:hAnsiTheme="minorHAnsi" w:cstheme="minorHAnsi"/>
          <w:color w:val="141414"/>
          <w:shd w:val="clear" w:color="auto" w:fill="FFFFFF"/>
        </w:rPr>
        <w:t>had even been briefly considered for a Prevent referral, although the context for this is currently unclear.</w:t>
      </w:r>
      <w:r w:rsidR="003E0B8B" w:rsidRPr="00930FD8">
        <w:rPr>
          <w:rStyle w:val="FootnoteReference"/>
          <w:rFonts w:asciiTheme="minorHAnsi" w:hAnsiTheme="minorHAnsi" w:cstheme="minorHAnsi"/>
          <w:color w:val="141414"/>
          <w:shd w:val="clear" w:color="auto" w:fill="FFFFFF"/>
        </w:rPr>
        <w:footnoteReference w:id="80"/>
      </w:r>
      <w:r w:rsidR="003E0B8B" w:rsidRPr="00930FD8">
        <w:rPr>
          <w:rFonts w:asciiTheme="minorHAnsi" w:hAnsiTheme="minorHAnsi" w:cstheme="minorHAnsi"/>
          <w:color w:val="141414"/>
          <w:shd w:val="clear" w:color="auto" w:fill="FFFFFF"/>
        </w:rPr>
        <w:t xml:space="preserve"> </w:t>
      </w:r>
      <w:r w:rsidR="00504EEC" w:rsidRPr="00930FD8">
        <w:rPr>
          <w:rFonts w:asciiTheme="minorHAnsi" w:hAnsiTheme="minorHAnsi" w:cstheme="minorHAnsi"/>
          <w:color w:val="141414"/>
          <w:shd w:val="clear" w:color="auto" w:fill="FFFFFF"/>
        </w:rPr>
        <w:t>Disappointingly, the</w:t>
      </w:r>
      <w:r w:rsidRPr="00930FD8">
        <w:rPr>
          <w:rFonts w:asciiTheme="minorHAnsi" w:hAnsiTheme="minorHAnsi" w:cstheme="minorHAnsi"/>
          <w:color w:val="141414"/>
          <w:shd w:val="clear" w:color="auto" w:fill="FFFFFF"/>
        </w:rPr>
        <w:t xml:space="preserve"> Prevent </w:t>
      </w:r>
      <w:proofErr w:type="spellStart"/>
      <w:r w:rsidRPr="00930FD8">
        <w:rPr>
          <w:rFonts w:asciiTheme="minorHAnsi" w:hAnsiTheme="minorHAnsi" w:cstheme="minorHAnsi"/>
          <w:color w:val="141414"/>
          <w:shd w:val="clear" w:color="auto" w:fill="FFFFFF"/>
        </w:rPr>
        <w:t>programme</w:t>
      </w:r>
      <w:proofErr w:type="spellEnd"/>
      <w:r w:rsidRPr="00930FD8">
        <w:rPr>
          <w:rFonts w:asciiTheme="minorHAnsi" w:hAnsiTheme="minorHAnsi" w:cstheme="minorHAnsi"/>
          <w:color w:val="141414"/>
          <w:shd w:val="clear" w:color="auto" w:fill="FFFFFF"/>
        </w:rPr>
        <w:t xml:space="preserve"> has been less than transparent about its failures, which in itself is an important shortcoming. </w:t>
      </w:r>
      <w:r w:rsidR="00DF1560" w:rsidRPr="00930FD8">
        <w:rPr>
          <w:rFonts w:asciiTheme="minorHAnsi" w:hAnsiTheme="minorHAnsi" w:cstheme="minorHAnsi"/>
          <w:color w:val="141414"/>
          <w:shd w:val="clear" w:color="auto" w:fill="FFFFFF"/>
        </w:rPr>
        <w:t>However, o</w:t>
      </w:r>
      <w:r w:rsidRPr="00930FD8">
        <w:rPr>
          <w:rFonts w:asciiTheme="minorHAnsi" w:hAnsiTheme="minorHAnsi" w:cstheme="minorHAnsi"/>
          <w:color w:val="141414"/>
          <w:shd w:val="clear" w:color="auto" w:fill="FFFFFF"/>
        </w:rPr>
        <w:t>ne possible explanation for th</w:t>
      </w:r>
      <w:r w:rsidR="00D71373">
        <w:rPr>
          <w:rFonts w:asciiTheme="minorHAnsi" w:hAnsiTheme="minorHAnsi" w:cstheme="minorHAnsi"/>
          <w:color w:val="141414"/>
          <w:shd w:val="clear" w:color="auto" w:fill="FFFFFF"/>
        </w:rPr>
        <w:t>e</w:t>
      </w:r>
      <w:r w:rsidRPr="00930FD8">
        <w:rPr>
          <w:rFonts w:asciiTheme="minorHAnsi" w:hAnsiTheme="minorHAnsi" w:cstheme="minorHAnsi"/>
          <w:color w:val="141414"/>
          <w:shd w:val="clear" w:color="auto" w:fill="FFFFFF"/>
        </w:rPr>
        <w:t xml:space="preserve"> lack of </w:t>
      </w:r>
      <w:r w:rsidR="00D742F5" w:rsidRPr="00930FD8">
        <w:rPr>
          <w:rFonts w:asciiTheme="minorHAnsi" w:hAnsiTheme="minorHAnsi" w:cstheme="minorHAnsi"/>
          <w:color w:val="141414"/>
          <w:shd w:val="clear" w:color="auto" w:fill="FFFFFF"/>
        </w:rPr>
        <w:t xml:space="preserve">state </w:t>
      </w:r>
      <w:r w:rsidR="005C4B6B" w:rsidRPr="00930FD8">
        <w:rPr>
          <w:rFonts w:asciiTheme="minorHAnsi" w:hAnsiTheme="minorHAnsi" w:cstheme="minorHAnsi"/>
          <w:color w:val="141414"/>
          <w:shd w:val="clear" w:color="auto" w:fill="FFFFFF"/>
        </w:rPr>
        <w:t>intervention</w:t>
      </w:r>
      <w:r w:rsidRPr="00930FD8">
        <w:rPr>
          <w:rFonts w:asciiTheme="minorHAnsi" w:hAnsiTheme="minorHAnsi" w:cstheme="minorHAnsi"/>
          <w:color w:val="141414"/>
          <w:shd w:val="clear" w:color="auto" w:fill="FFFFFF"/>
        </w:rPr>
        <w:t xml:space="preserve"> </w:t>
      </w:r>
      <w:r w:rsidR="00D71373">
        <w:rPr>
          <w:rFonts w:asciiTheme="minorHAnsi" w:hAnsiTheme="minorHAnsi" w:cstheme="minorHAnsi"/>
          <w:color w:val="141414"/>
          <w:shd w:val="clear" w:color="auto" w:fill="FFFFFF"/>
        </w:rPr>
        <w:t xml:space="preserve">in this instance </w:t>
      </w:r>
      <w:r w:rsidR="002D5FD9">
        <w:rPr>
          <w:rFonts w:asciiTheme="minorHAnsi" w:hAnsiTheme="minorHAnsi" w:cstheme="minorHAnsi"/>
          <w:color w:val="141414"/>
          <w:shd w:val="clear" w:color="auto" w:fill="FFFFFF"/>
        </w:rPr>
        <w:t>could be</w:t>
      </w:r>
      <w:r w:rsidRPr="00930FD8">
        <w:rPr>
          <w:rFonts w:asciiTheme="minorHAnsi" w:hAnsiTheme="minorHAnsi" w:cstheme="minorHAnsi"/>
          <w:color w:val="141414"/>
          <w:shd w:val="clear" w:color="auto" w:fill="FFFFFF"/>
        </w:rPr>
        <w:t xml:space="preserve"> that </w:t>
      </w:r>
      <w:r w:rsidR="00504EEC" w:rsidRPr="00930FD8">
        <w:rPr>
          <w:rFonts w:asciiTheme="minorHAnsi" w:hAnsiTheme="minorHAnsi" w:cstheme="minorHAnsi"/>
          <w:color w:val="141414"/>
          <w:shd w:val="clear" w:color="auto" w:fill="FFFFFF"/>
        </w:rPr>
        <w:t xml:space="preserve">Abedi’s very agency meant that his case was dealt with through a security lens, rather than a vulnerability lens, which requires a higher threshold for </w:t>
      </w:r>
      <w:r w:rsidR="005C4B6B" w:rsidRPr="00930FD8">
        <w:rPr>
          <w:rFonts w:asciiTheme="minorHAnsi" w:hAnsiTheme="minorHAnsi" w:cstheme="minorHAnsi"/>
          <w:color w:val="141414"/>
          <w:shd w:val="clear" w:color="auto" w:fill="FFFFFF"/>
        </w:rPr>
        <w:t xml:space="preserve">purposeful state </w:t>
      </w:r>
      <w:r w:rsidR="00504EEC" w:rsidRPr="00930FD8">
        <w:rPr>
          <w:rFonts w:asciiTheme="minorHAnsi" w:hAnsiTheme="minorHAnsi" w:cstheme="minorHAnsi"/>
          <w:color w:val="141414"/>
          <w:shd w:val="clear" w:color="auto" w:fill="FFFFFF"/>
        </w:rPr>
        <w:t xml:space="preserve">action. </w:t>
      </w:r>
      <w:r w:rsidR="00725F81" w:rsidRPr="00930FD8">
        <w:rPr>
          <w:rFonts w:asciiTheme="minorHAnsi" w:hAnsiTheme="minorHAnsi" w:cstheme="minorHAnsi"/>
          <w:color w:val="141414"/>
          <w:bdr w:val="none" w:sz="0" w:space="0" w:color="auto" w:frame="1"/>
        </w:rPr>
        <w:t xml:space="preserve">The Manchester Arena bombing is still most serious terrorist incident to strike the United Kingdom since the 2005 London Transport bombings. </w:t>
      </w:r>
    </w:p>
    <w:p w14:paraId="30181E0D" w14:textId="321582AB" w:rsidR="00A44F62" w:rsidRPr="00930FD8" w:rsidRDefault="00A44F62" w:rsidP="00AF4FF8">
      <w:pPr>
        <w:jc w:val="both"/>
        <w:rPr>
          <w:rFonts w:asciiTheme="minorHAnsi" w:hAnsiTheme="minorHAnsi" w:cstheme="minorHAnsi"/>
          <w:color w:val="141414"/>
          <w:bdr w:val="none" w:sz="0" w:space="0" w:color="auto" w:frame="1"/>
        </w:rPr>
      </w:pPr>
    </w:p>
    <w:p w14:paraId="7E42AA5E" w14:textId="50344CAB" w:rsidR="001D60E7" w:rsidRDefault="00D71373" w:rsidP="00AF4FF8">
      <w:pPr>
        <w:jc w:val="both"/>
        <w:rPr>
          <w:rFonts w:asciiTheme="minorHAnsi" w:hAnsiTheme="minorHAnsi" w:cstheme="minorHAnsi"/>
          <w:i/>
          <w:iCs/>
          <w:color w:val="141414"/>
          <w:bdr w:val="none" w:sz="0" w:space="0" w:color="auto" w:frame="1"/>
        </w:rPr>
      </w:pPr>
      <w:r w:rsidRPr="00D71373">
        <w:rPr>
          <w:rFonts w:asciiTheme="minorHAnsi" w:hAnsiTheme="minorHAnsi" w:cstheme="minorHAnsi"/>
          <w:i/>
          <w:iCs/>
          <w:color w:val="141414"/>
          <w:bdr w:val="none" w:sz="0" w:space="0" w:color="auto" w:frame="1"/>
        </w:rPr>
        <w:t>Lessons Learned</w:t>
      </w:r>
    </w:p>
    <w:p w14:paraId="016E0E66" w14:textId="762AFD19" w:rsidR="00AE2E85" w:rsidRDefault="00AE2E85" w:rsidP="00AF4FF8">
      <w:pPr>
        <w:jc w:val="both"/>
        <w:rPr>
          <w:rFonts w:asciiTheme="minorHAnsi" w:hAnsiTheme="minorHAnsi" w:cstheme="minorHAnsi"/>
          <w:i/>
          <w:iCs/>
          <w:color w:val="141414"/>
          <w:bdr w:val="none" w:sz="0" w:space="0" w:color="auto" w:frame="1"/>
        </w:rPr>
      </w:pPr>
    </w:p>
    <w:p w14:paraId="2FC6931B" w14:textId="6409FFA7" w:rsidR="00212E63" w:rsidRPr="00212E63" w:rsidRDefault="00AE2E85" w:rsidP="00212E63">
      <w:pPr>
        <w:jc w:val="both"/>
        <w:rPr>
          <w:rFonts w:asciiTheme="minorHAnsi" w:hAnsiTheme="minorHAnsi" w:cstheme="minorHAnsi"/>
          <w:color w:val="141414"/>
          <w:bdr w:val="none" w:sz="0" w:space="0" w:color="auto" w:frame="1"/>
        </w:rPr>
      </w:pPr>
      <w:r w:rsidRPr="00AE2E85">
        <w:rPr>
          <w:rFonts w:asciiTheme="minorHAnsi" w:hAnsiTheme="minorHAnsi" w:cstheme="minorHAnsi"/>
          <w:color w:val="141414"/>
          <w:bdr w:val="none" w:sz="0" w:space="0" w:color="auto" w:frame="1"/>
        </w:rPr>
        <w:t>While the United Kingdom’s Prevent strategy was initially designed to combat th</w:t>
      </w:r>
      <w:r w:rsidR="00306C0D">
        <w:rPr>
          <w:rFonts w:asciiTheme="minorHAnsi" w:hAnsiTheme="minorHAnsi" w:cstheme="minorHAnsi"/>
          <w:color w:val="141414"/>
          <w:bdr w:val="none" w:sz="0" w:space="0" w:color="auto" w:frame="1"/>
        </w:rPr>
        <w:t>e</w:t>
      </w:r>
      <w:r w:rsidRPr="00AE2E85">
        <w:rPr>
          <w:rFonts w:asciiTheme="minorHAnsi" w:hAnsiTheme="minorHAnsi" w:cstheme="minorHAnsi"/>
          <w:color w:val="141414"/>
          <w:bdr w:val="none" w:sz="0" w:space="0" w:color="auto" w:frame="1"/>
        </w:rPr>
        <w:t xml:space="preserve"> threat from violent Islamist extremism</w:t>
      </w:r>
      <w:r>
        <w:rPr>
          <w:rFonts w:asciiTheme="minorHAnsi" w:hAnsiTheme="minorHAnsi" w:cstheme="minorHAnsi"/>
          <w:color w:val="141414"/>
          <w:bdr w:val="none" w:sz="0" w:space="0" w:color="auto" w:frame="1"/>
        </w:rPr>
        <w:t>, it has over time evolved to encompass o</w:t>
      </w:r>
      <w:r w:rsidR="00421FF3">
        <w:rPr>
          <w:rFonts w:asciiTheme="minorHAnsi" w:hAnsiTheme="minorHAnsi" w:cstheme="minorHAnsi"/>
          <w:color w:val="141414"/>
          <w:bdr w:val="none" w:sz="0" w:space="0" w:color="auto" w:frame="1"/>
        </w:rPr>
        <w:t>th</w:t>
      </w:r>
      <w:r>
        <w:rPr>
          <w:rFonts w:asciiTheme="minorHAnsi" w:hAnsiTheme="minorHAnsi" w:cstheme="minorHAnsi"/>
          <w:color w:val="141414"/>
          <w:bdr w:val="none" w:sz="0" w:space="0" w:color="auto" w:frame="1"/>
        </w:rPr>
        <w:t>er strains of violent extremist activity</w:t>
      </w:r>
      <w:r w:rsidR="00421FF3">
        <w:rPr>
          <w:rFonts w:asciiTheme="minorHAnsi" w:hAnsiTheme="minorHAnsi" w:cstheme="minorHAnsi"/>
          <w:color w:val="141414"/>
          <w:bdr w:val="none" w:sz="0" w:space="0" w:color="auto" w:frame="1"/>
        </w:rPr>
        <w:t>,</w:t>
      </w:r>
      <w:r>
        <w:rPr>
          <w:rFonts w:asciiTheme="minorHAnsi" w:hAnsiTheme="minorHAnsi" w:cstheme="minorHAnsi"/>
          <w:color w:val="141414"/>
          <w:bdr w:val="none" w:sz="0" w:space="0" w:color="auto" w:frame="1"/>
        </w:rPr>
        <w:t xml:space="preserve"> including </w:t>
      </w:r>
      <w:r w:rsidR="003D7170">
        <w:rPr>
          <w:rFonts w:asciiTheme="minorHAnsi" w:hAnsiTheme="minorHAnsi" w:cstheme="minorHAnsi"/>
          <w:color w:val="141414"/>
          <w:bdr w:val="none" w:sz="0" w:space="0" w:color="auto" w:frame="1"/>
        </w:rPr>
        <w:t xml:space="preserve">extreme </w:t>
      </w:r>
      <w:r>
        <w:rPr>
          <w:rFonts w:asciiTheme="minorHAnsi" w:hAnsiTheme="minorHAnsi" w:cstheme="minorHAnsi"/>
          <w:color w:val="141414"/>
          <w:bdr w:val="none" w:sz="0" w:space="0" w:color="auto" w:frame="1"/>
        </w:rPr>
        <w:t xml:space="preserve">right </w:t>
      </w:r>
      <w:r w:rsidR="003D7170">
        <w:rPr>
          <w:rFonts w:asciiTheme="minorHAnsi" w:hAnsiTheme="minorHAnsi" w:cstheme="minorHAnsi"/>
          <w:color w:val="141414"/>
          <w:bdr w:val="none" w:sz="0" w:space="0" w:color="auto" w:frame="1"/>
        </w:rPr>
        <w:t xml:space="preserve">wing </w:t>
      </w:r>
      <w:r>
        <w:rPr>
          <w:rFonts w:asciiTheme="minorHAnsi" w:hAnsiTheme="minorHAnsi" w:cstheme="minorHAnsi"/>
          <w:color w:val="141414"/>
          <w:bdr w:val="none" w:sz="0" w:space="0" w:color="auto" w:frame="1"/>
        </w:rPr>
        <w:t>activism.</w:t>
      </w:r>
      <w:r w:rsidR="00A45D82">
        <w:rPr>
          <w:rFonts w:asciiTheme="minorHAnsi" w:hAnsiTheme="minorHAnsi" w:cstheme="minorHAnsi"/>
          <w:color w:val="141414"/>
          <w:bdr w:val="none" w:sz="0" w:space="0" w:color="auto" w:frame="1"/>
        </w:rPr>
        <w:t xml:space="preserve"> </w:t>
      </w:r>
      <w:r w:rsidR="00163A5D">
        <w:rPr>
          <w:rFonts w:asciiTheme="minorHAnsi" w:hAnsiTheme="minorHAnsi" w:cstheme="minorHAnsi"/>
          <w:color w:val="141414"/>
          <w:bdr w:val="none" w:sz="0" w:space="0" w:color="auto" w:frame="1"/>
        </w:rPr>
        <w:t xml:space="preserve">What can be said with certainty about the Prevent strategy’s contribution to the fight against Islamist terrorism is that it has </w:t>
      </w:r>
      <w:r w:rsidR="000E0E96">
        <w:rPr>
          <w:rFonts w:asciiTheme="minorHAnsi" w:hAnsiTheme="minorHAnsi" w:cstheme="minorHAnsi"/>
          <w:color w:val="141414"/>
          <w:bdr w:val="none" w:sz="0" w:space="0" w:color="auto" w:frame="1"/>
        </w:rPr>
        <w:t>clearly</w:t>
      </w:r>
      <w:r w:rsidR="00163A5D">
        <w:rPr>
          <w:rFonts w:asciiTheme="minorHAnsi" w:hAnsiTheme="minorHAnsi" w:cstheme="minorHAnsi"/>
          <w:color w:val="141414"/>
          <w:bdr w:val="none" w:sz="0" w:space="0" w:color="auto" w:frame="1"/>
        </w:rPr>
        <w:t xml:space="preserve"> not proved to be a </w:t>
      </w:r>
      <w:r w:rsidR="009858F7">
        <w:rPr>
          <w:rFonts w:asciiTheme="minorHAnsi" w:hAnsiTheme="minorHAnsi" w:cstheme="minorHAnsi"/>
          <w:color w:val="141414"/>
          <w:bdr w:val="none" w:sz="0" w:space="0" w:color="auto" w:frame="1"/>
        </w:rPr>
        <w:t>“</w:t>
      </w:r>
      <w:r w:rsidR="00163A5D">
        <w:rPr>
          <w:rFonts w:asciiTheme="minorHAnsi" w:hAnsiTheme="minorHAnsi" w:cstheme="minorHAnsi"/>
          <w:color w:val="141414"/>
          <w:bdr w:val="none" w:sz="0" w:space="0" w:color="auto" w:frame="1"/>
        </w:rPr>
        <w:t>magic bullet</w:t>
      </w:r>
      <w:r w:rsidR="009858F7">
        <w:rPr>
          <w:rFonts w:asciiTheme="minorHAnsi" w:hAnsiTheme="minorHAnsi" w:cstheme="minorHAnsi"/>
          <w:color w:val="141414"/>
          <w:bdr w:val="none" w:sz="0" w:space="0" w:color="auto" w:frame="1"/>
        </w:rPr>
        <w:t>”</w:t>
      </w:r>
      <w:r w:rsidR="00163A5D">
        <w:rPr>
          <w:rFonts w:asciiTheme="minorHAnsi" w:hAnsiTheme="minorHAnsi" w:cstheme="minorHAnsi"/>
          <w:color w:val="141414"/>
          <w:bdr w:val="none" w:sz="0" w:space="0" w:color="auto" w:frame="1"/>
        </w:rPr>
        <w:t>.</w:t>
      </w:r>
      <w:r w:rsidR="00596C93" w:rsidRPr="00701A42">
        <w:rPr>
          <w:rStyle w:val="FootnoteReference"/>
          <w:rFonts w:asciiTheme="minorHAnsi" w:hAnsiTheme="minorHAnsi" w:cstheme="minorHAnsi"/>
        </w:rPr>
        <w:footnoteReference w:id="81"/>
      </w:r>
      <w:r w:rsidR="00163A5D">
        <w:rPr>
          <w:rFonts w:asciiTheme="minorHAnsi" w:hAnsiTheme="minorHAnsi" w:cstheme="minorHAnsi"/>
          <w:color w:val="141414"/>
          <w:bdr w:val="none" w:sz="0" w:space="0" w:color="auto" w:frame="1"/>
        </w:rPr>
        <w:t xml:space="preserve"> </w:t>
      </w:r>
      <w:r w:rsidR="009858F7">
        <w:rPr>
          <w:rFonts w:asciiTheme="minorHAnsi" w:hAnsiTheme="minorHAnsi" w:cstheme="minorHAnsi"/>
          <w:color w:val="141414"/>
          <w:bdr w:val="none" w:sz="0" w:space="0" w:color="auto" w:frame="1"/>
        </w:rPr>
        <w:t>As documented above, s</w:t>
      </w:r>
      <w:r w:rsidR="00163A5D">
        <w:rPr>
          <w:rFonts w:asciiTheme="minorHAnsi" w:hAnsiTheme="minorHAnsi" w:cstheme="minorHAnsi"/>
          <w:color w:val="141414"/>
          <w:bdr w:val="none" w:sz="0" w:space="0" w:color="auto" w:frame="1"/>
        </w:rPr>
        <w:t xml:space="preserve">ome individuals referred to the Channel </w:t>
      </w:r>
      <w:proofErr w:type="spellStart"/>
      <w:r w:rsidR="00163A5D">
        <w:rPr>
          <w:rFonts w:asciiTheme="minorHAnsi" w:hAnsiTheme="minorHAnsi" w:cstheme="minorHAnsi"/>
          <w:color w:val="141414"/>
          <w:bdr w:val="none" w:sz="0" w:space="0" w:color="auto" w:frame="1"/>
        </w:rPr>
        <w:t>programme</w:t>
      </w:r>
      <w:proofErr w:type="spellEnd"/>
      <w:r w:rsidR="00163A5D">
        <w:rPr>
          <w:rFonts w:asciiTheme="minorHAnsi" w:hAnsiTheme="minorHAnsi" w:cstheme="minorHAnsi"/>
          <w:color w:val="141414"/>
          <w:bdr w:val="none" w:sz="0" w:space="0" w:color="auto" w:frame="1"/>
        </w:rPr>
        <w:t xml:space="preserve"> have gone on to commit acts of terrorism. </w:t>
      </w:r>
      <w:r w:rsidR="00306C0D">
        <w:rPr>
          <w:rFonts w:asciiTheme="minorHAnsi" w:hAnsiTheme="minorHAnsi" w:cstheme="minorHAnsi"/>
          <w:color w:val="141414"/>
          <w:bdr w:val="none" w:sz="0" w:space="0" w:color="auto" w:frame="1"/>
        </w:rPr>
        <w:t>There has not been a noticeable reduction of terrorist incidents in the United Kingdom and</w:t>
      </w:r>
      <w:r w:rsidR="009858F7">
        <w:rPr>
          <w:rFonts w:asciiTheme="minorHAnsi" w:hAnsiTheme="minorHAnsi" w:cstheme="minorHAnsi"/>
          <w:color w:val="141414"/>
          <w:bdr w:val="none" w:sz="0" w:space="0" w:color="auto" w:frame="1"/>
        </w:rPr>
        <w:t>,</w:t>
      </w:r>
      <w:r w:rsidR="00306C0D">
        <w:rPr>
          <w:rFonts w:asciiTheme="minorHAnsi" w:hAnsiTheme="minorHAnsi" w:cstheme="minorHAnsi"/>
          <w:color w:val="141414"/>
          <w:bdr w:val="none" w:sz="0" w:space="0" w:color="auto" w:frame="1"/>
        </w:rPr>
        <w:t xml:space="preserve"> even if there had been</w:t>
      </w:r>
      <w:r w:rsidR="009858F7">
        <w:rPr>
          <w:rFonts w:asciiTheme="minorHAnsi" w:hAnsiTheme="minorHAnsi" w:cstheme="minorHAnsi"/>
          <w:color w:val="141414"/>
          <w:bdr w:val="none" w:sz="0" w:space="0" w:color="auto" w:frame="1"/>
        </w:rPr>
        <w:t>,</w:t>
      </w:r>
      <w:r w:rsidR="00306C0D">
        <w:rPr>
          <w:rFonts w:asciiTheme="minorHAnsi" w:hAnsiTheme="minorHAnsi" w:cstheme="minorHAnsi"/>
          <w:color w:val="141414"/>
          <w:bdr w:val="none" w:sz="0" w:space="0" w:color="auto" w:frame="1"/>
        </w:rPr>
        <w:t xml:space="preserve"> it would be nearly impossible to demonstrate a direct causal effect resulting from the Prevent strategy since so many other </w:t>
      </w:r>
      <w:r w:rsidR="002D5FD9">
        <w:rPr>
          <w:rFonts w:asciiTheme="minorHAnsi" w:hAnsiTheme="minorHAnsi" w:cstheme="minorHAnsi"/>
          <w:color w:val="141414"/>
          <w:bdr w:val="none" w:sz="0" w:space="0" w:color="auto" w:frame="1"/>
        </w:rPr>
        <w:t xml:space="preserve">potential </w:t>
      </w:r>
      <w:r w:rsidR="00306C0D">
        <w:rPr>
          <w:rFonts w:asciiTheme="minorHAnsi" w:hAnsiTheme="minorHAnsi" w:cstheme="minorHAnsi"/>
          <w:color w:val="141414"/>
          <w:bdr w:val="none" w:sz="0" w:space="0" w:color="auto" w:frame="1"/>
        </w:rPr>
        <w:t xml:space="preserve">variables exist. </w:t>
      </w:r>
      <w:r w:rsidR="00163A5D">
        <w:rPr>
          <w:rFonts w:asciiTheme="minorHAnsi" w:hAnsiTheme="minorHAnsi" w:cstheme="minorHAnsi"/>
          <w:color w:val="141414"/>
          <w:bdr w:val="none" w:sz="0" w:space="0" w:color="auto" w:frame="1"/>
        </w:rPr>
        <w:t xml:space="preserve">It is </w:t>
      </w:r>
      <w:r w:rsidR="00306C0D">
        <w:rPr>
          <w:rFonts w:asciiTheme="minorHAnsi" w:hAnsiTheme="minorHAnsi" w:cstheme="minorHAnsi"/>
          <w:color w:val="141414"/>
          <w:bdr w:val="none" w:sz="0" w:space="0" w:color="auto" w:frame="1"/>
        </w:rPr>
        <w:t xml:space="preserve">reasonable to conclude that in some cases Channel interventions may have succeeded, although proving what would have counterfactually occurred absent this intervention is also near impossible, </w:t>
      </w:r>
      <w:r w:rsidR="000E0E96">
        <w:rPr>
          <w:rFonts w:asciiTheme="minorHAnsi" w:hAnsiTheme="minorHAnsi" w:cstheme="minorHAnsi"/>
          <w:color w:val="141414"/>
          <w:bdr w:val="none" w:sz="0" w:space="0" w:color="auto" w:frame="1"/>
        </w:rPr>
        <w:t xml:space="preserve">but equally it is reasonable to conclude </w:t>
      </w:r>
      <w:r w:rsidR="00306C0D">
        <w:rPr>
          <w:rFonts w:asciiTheme="minorHAnsi" w:hAnsiTheme="minorHAnsi" w:cstheme="minorHAnsi"/>
          <w:color w:val="141414"/>
          <w:bdr w:val="none" w:sz="0" w:space="0" w:color="auto" w:frame="1"/>
        </w:rPr>
        <w:t>based on public opinion surveys of minority groups</w:t>
      </w:r>
      <w:r w:rsidR="000E0E96">
        <w:rPr>
          <w:rFonts w:asciiTheme="minorHAnsi" w:hAnsiTheme="minorHAnsi" w:cstheme="minorHAnsi"/>
          <w:color w:val="141414"/>
          <w:bdr w:val="none" w:sz="0" w:space="0" w:color="auto" w:frame="1"/>
        </w:rPr>
        <w:t>’</w:t>
      </w:r>
      <w:r w:rsidR="00306C0D">
        <w:rPr>
          <w:rFonts w:asciiTheme="minorHAnsi" w:hAnsiTheme="minorHAnsi" w:cstheme="minorHAnsi"/>
          <w:color w:val="141414"/>
          <w:bdr w:val="none" w:sz="0" w:space="0" w:color="auto" w:frame="1"/>
        </w:rPr>
        <w:t xml:space="preserve"> </w:t>
      </w:r>
      <w:r w:rsidR="000E0E96">
        <w:rPr>
          <w:rFonts w:asciiTheme="minorHAnsi" w:hAnsiTheme="minorHAnsi" w:cstheme="minorHAnsi"/>
          <w:color w:val="141414"/>
          <w:bdr w:val="none" w:sz="0" w:space="0" w:color="auto" w:frame="1"/>
        </w:rPr>
        <w:t xml:space="preserve">negative </w:t>
      </w:r>
      <w:r w:rsidR="00306C0D">
        <w:rPr>
          <w:rFonts w:asciiTheme="minorHAnsi" w:hAnsiTheme="minorHAnsi" w:cstheme="minorHAnsi"/>
          <w:color w:val="141414"/>
          <w:bdr w:val="none" w:sz="0" w:space="0" w:color="auto" w:frame="1"/>
        </w:rPr>
        <w:t>experiences of British counter-terrorism measures</w:t>
      </w:r>
      <w:r w:rsidR="000E0E96">
        <w:rPr>
          <w:rFonts w:asciiTheme="minorHAnsi" w:hAnsiTheme="minorHAnsi" w:cstheme="minorHAnsi"/>
          <w:color w:val="141414"/>
          <w:bdr w:val="none" w:sz="0" w:space="0" w:color="auto" w:frame="1"/>
        </w:rPr>
        <w:t>, as well as established criminological phenomena such as ‘</w:t>
      </w:r>
      <w:proofErr w:type="spellStart"/>
      <w:r w:rsidR="000E0E96">
        <w:rPr>
          <w:rFonts w:asciiTheme="minorHAnsi" w:hAnsiTheme="minorHAnsi" w:cstheme="minorHAnsi"/>
          <w:color w:val="141414"/>
          <w:bdr w:val="none" w:sz="0" w:space="0" w:color="auto" w:frame="1"/>
        </w:rPr>
        <w:t>suspectification</w:t>
      </w:r>
      <w:proofErr w:type="spellEnd"/>
      <w:r w:rsidR="000E0E96">
        <w:rPr>
          <w:rFonts w:asciiTheme="minorHAnsi" w:hAnsiTheme="minorHAnsi" w:cstheme="minorHAnsi"/>
          <w:color w:val="141414"/>
          <w:bdr w:val="none" w:sz="0" w:space="0" w:color="auto" w:frame="1"/>
        </w:rPr>
        <w:t>’</w:t>
      </w:r>
      <w:r w:rsidR="002D5FD9">
        <w:rPr>
          <w:rFonts w:asciiTheme="minorHAnsi" w:hAnsiTheme="minorHAnsi" w:cstheme="minorHAnsi"/>
          <w:color w:val="141414"/>
          <w:bdr w:val="none" w:sz="0" w:space="0" w:color="auto" w:frame="1"/>
        </w:rPr>
        <w:t xml:space="preserve"> and </w:t>
      </w:r>
      <w:r w:rsidR="002D5FD9">
        <w:rPr>
          <w:rFonts w:asciiTheme="minorHAnsi" w:hAnsiTheme="minorHAnsi" w:cstheme="minorHAnsi"/>
        </w:rPr>
        <w:t>iatrogenesis</w:t>
      </w:r>
      <w:r w:rsidR="000E0E96">
        <w:rPr>
          <w:rFonts w:asciiTheme="minorHAnsi" w:hAnsiTheme="minorHAnsi" w:cstheme="minorHAnsi"/>
          <w:color w:val="141414"/>
          <w:bdr w:val="none" w:sz="0" w:space="0" w:color="auto" w:frame="1"/>
        </w:rPr>
        <w:t xml:space="preserve">, </w:t>
      </w:r>
      <w:r w:rsidR="00306C0D">
        <w:rPr>
          <w:rFonts w:asciiTheme="minorHAnsi" w:hAnsiTheme="minorHAnsi" w:cstheme="minorHAnsi"/>
          <w:color w:val="141414"/>
          <w:bdr w:val="none" w:sz="0" w:space="0" w:color="auto" w:frame="1"/>
        </w:rPr>
        <w:t xml:space="preserve">that in some cases these interventions may have exacerbated </w:t>
      </w:r>
      <w:r w:rsidR="000E0E96">
        <w:rPr>
          <w:rFonts w:asciiTheme="minorHAnsi" w:hAnsiTheme="minorHAnsi" w:cstheme="minorHAnsi"/>
          <w:color w:val="141414"/>
          <w:bdr w:val="none" w:sz="0" w:space="0" w:color="auto" w:frame="1"/>
        </w:rPr>
        <w:t>previously existing hostility towards the British state</w:t>
      </w:r>
      <w:r w:rsidR="00306C0D">
        <w:rPr>
          <w:rFonts w:asciiTheme="minorHAnsi" w:hAnsiTheme="minorHAnsi" w:cstheme="minorHAnsi"/>
          <w:color w:val="141414"/>
          <w:bdr w:val="none" w:sz="0" w:space="0" w:color="auto" w:frame="1"/>
        </w:rPr>
        <w:t>.</w:t>
      </w:r>
      <w:r w:rsidR="00212E63" w:rsidRPr="0001300D">
        <w:rPr>
          <w:rStyle w:val="FootnoteReference"/>
          <w:rFonts w:asciiTheme="minorHAnsi" w:hAnsiTheme="minorHAnsi" w:cstheme="minorHAnsi"/>
        </w:rPr>
        <w:footnoteReference w:id="82"/>
      </w:r>
      <w:r w:rsidR="00212E63">
        <w:rPr>
          <w:rFonts w:asciiTheme="minorHAnsi" w:hAnsiTheme="minorHAnsi" w:cstheme="minorHAnsi"/>
          <w:color w:val="141414"/>
          <w:bdr w:val="none" w:sz="0" w:space="0" w:color="auto" w:frame="1"/>
        </w:rPr>
        <w:t xml:space="preserve"> </w:t>
      </w:r>
      <w:r w:rsidR="00212E63" w:rsidRPr="00212E63">
        <w:rPr>
          <w:rFonts w:asciiTheme="minorHAnsi" w:hAnsiTheme="minorHAnsi" w:cstheme="minorHAnsi"/>
        </w:rPr>
        <w:t xml:space="preserve">As Christina </w:t>
      </w:r>
      <w:proofErr w:type="spellStart"/>
      <w:r w:rsidR="00212E63" w:rsidRPr="00212E63">
        <w:rPr>
          <w:rFonts w:asciiTheme="minorHAnsi" w:hAnsiTheme="minorHAnsi" w:cstheme="minorHAnsi"/>
        </w:rPr>
        <w:t>Pantazis</w:t>
      </w:r>
      <w:proofErr w:type="spellEnd"/>
      <w:r w:rsidR="00212E63" w:rsidRPr="00212E63">
        <w:rPr>
          <w:rFonts w:asciiTheme="minorHAnsi" w:hAnsiTheme="minorHAnsi" w:cstheme="minorHAnsi"/>
        </w:rPr>
        <w:t xml:space="preserve"> and Simon Pemberton have argued: “It is difficult to see how… skillful, yet ultimately </w:t>
      </w:r>
      <w:r w:rsidR="00212E63" w:rsidRPr="00212E63">
        <w:rPr>
          <w:rFonts w:asciiTheme="minorHAnsi" w:hAnsiTheme="minorHAnsi" w:cstheme="minorHAnsi"/>
        </w:rPr>
        <w:lastRenderedPageBreak/>
        <w:t>fragile, ‘soft approaches’ can thrive, when the full weight of state suspicion and the brutality of ‘hard’ methods have fallen on these communities.”</w:t>
      </w:r>
      <w:r w:rsidR="00212E63" w:rsidRPr="00212E63">
        <w:rPr>
          <w:rStyle w:val="FootnoteReference"/>
          <w:rFonts w:asciiTheme="minorHAnsi" w:hAnsiTheme="minorHAnsi" w:cstheme="minorHAnsi"/>
        </w:rPr>
        <w:footnoteReference w:id="83"/>
      </w:r>
    </w:p>
    <w:p w14:paraId="2665852B" w14:textId="77777777" w:rsidR="001D60E7" w:rsidRPr="009554AA" w:rsidRDefault="001D60E7" w:rsidP="00F27691">
      <w:pPr>
        <w:jc w:val="both"/>
        <w:rPr>
          <w:rFonts w:asciiTheme="minorHAnsi" w:hAnsiTheme="minorHAnsi" w:cstheme="minorHAnsi"/>
          <w:bdr w:val="none" w:sz="0" w:space="0" w:color="auto" w:frame="1"/>
        </w:rPr>
      </w:pPr>
    </w:p>
    <w:p w14:paraId="017EA9FF" w14:textId="35212EB2" w:rsidR="00F40AD8" w:rsidRDefault="00212E63" w:rsidP="00F27691">
      <w:pPr>
        <w:jc w:val="both"/>
        <w:rPr>
          <w:rStyle w:val="apple-converted-space"/>
          <w:rFonts w:asciiTheme="minorHAnsi" w:hAnsiTheme="minorHAnsi" w:cstheme="minorHAnsi"/>
          <w:color w:val="0B0C0C"/>
        </w:rPr>
      </w:pPr>
      <w:r w:rsidRPr="009554AA">
        <w:rPr>
          <w:rFonts w:asciiTheme="minorHAnsi" w:hAnsiTheme="minorHAnsi" w:cstheme="minorHAnsi"/>
        </w:rPr>
        <w:t xml:space="preserve">So what, if anything, can Britain’s experience of the Prevent strategy teach us about addressing the threat of Racially and Ethnically Motivated Terrorism </w:t>
      </w:r>
      <w:r w:rsidR="00465AF2" w:rsidRPr="009554AA">
        <w:rPr>
          <w:rFonts w:asciiTheme="minorHAnsi" w:hAnsiTheme="minorHAnsi" w:cstheme="minorHAnsi"/>
        </w:rPr>
        <w:t xml:space="preserve">(REMT) </w:t>
      </w:r>
      <w:r w:rsidRPr="009554AA">
        <w:rPr>
          <w:rFonts w:asciiTheme="minorHAnsi" w:hAnsiTheme="minorHAnsi" w:cstheme="minorHAnsi"/>
        </w:rPr>
        <w:t xml:space="preserve">in the United States? </w:t>
      </w:r>
      <w:r w:rsidR="00465AF2" w:rsidRPr="009554AA">
        <w:rPr>
          <w:rFonts w:asciiTheme="minorHAnsi" w:hAnsiTheme="minorHAnsi" w:cstheme="minorHAnsi"/>
        </w:rPr>
        <w:t xml:space="preserve">What the British government refers to as Extreme </w:t>
      </w:r>
      <w:r w:rsidR="00327987" w:rsidRPr="009554AA">
        <w:rPr>
          <w:rFonts w:asciiTheme="minorHAnsi" w:hAnsiTheme="minorHAnsi" w:cstheme="minorHAnsi"/>
        </w:rPr>
        <w:t xml:space="preserve">Right Wing </w:t>
      </w:r>
      <w:r w:rsidR="00465AF2" w:rsidRPr="009554AA">
        <w:rPr>
          <w:rFonts w:asciiTheme="minorHAnsi" w:hAnsiTheme="minorHAnsi" w:cstheme="minorHAnsi"/>
        </w:rPr>
        <w:t>(XRW) terrorism</w:t>
      </w:r>
      <w:r w:rsidR="00327987" w:rsidRPr="009554AA">
        <w:rPr>
          <w:rFonts w:asciiTheme="minorHAnsi" w:hAnsiTheme="minorHAnsi" w:cstheme="minorHAnsi"/>
        </w:rPr>
        <w:t xml:space="preserve"> was explicitly added as a focus area to the Prevent strategy</w:t>
      </w:r>
      <w:r w:rsidR="00465AF2" w:rsidRPr="009554AA">
        <w:rPr>
          <w:rFonts w:asciiTheme="minorHAnsi" w:hAnsiTheme="minorHAnsi" w:cstheme="minorHAnsi"/>
        </w:rPr>
        <w:t>,</w:t>
      </w:r>
      <w:r w:rsidR="00327987" w:rsidRPr="009554AA">
        <w:rPr>
          <w:rFonts w:asciiTheme="minorHAnsi" w:hAnsiTheme="minorHAnsi" w:cstheme="minorHAnsi"/>
        </w:rPr>
        <w:t xml:space="preserve"> and by extension to the Channel </w:t>
      </w:r>
      <w:proofErr w:type="spellStart"/>
      <w:r w:rsidR="00327987" w:rsidRPr="009554AA">
        <w:rPr>
          <w:rFonts w:asciiTheme="minorHAnsi" w:hAnsiTheme="minorHAnsi" w:cstheme="minorHAnsi"/>
        </w:rPr>
        <w:t>programme</w:t>
      </w:r>
      <w:proofErr w:type="spellEnd"/>
      <w:r w:rsidR="00465AF2" w:rsidRPr="009554AA">
        <w:rPr>
          <w:rFonts w:asciiTheme="minorHAnsi" w:hAnsiTheme="minorHAnsi" w:cstheme="minorHAnsi"/>
        </w:rPr>
        <w:t xml:space="preserve">, </w:t>
      </w:r>
      <w:r w:rsidR="00327987" w:rsidRPr="009554AA">
        <w:rPr>
          <w:rFonts w:asciiTheme="minorHAnsi" w:hAnsiTheme="minorHAnsi" w:cstheme="minorHAnsi"/>
        </w:rPr>
        <w:t>in 2011</w:t>
      </w:r>
      <w:r w:rsidR="00465AF2" w:rsidRPr="009554AA">
        <w:rPr>
          <w:rFonts w:asciiTheme="minorHAnsi" w:hAnsiTheme="minorHAnsi" w:cstheme="minorHAnsi"/>
        </w:rPr>
        <w:t>,</w:t>
      </w:r>
      <w:r w:rsidR="0044613C" w:rsidRPr="009554AA">
        <w:rPr>
          <w:rFonts w:asciiTheme="minorHAnsi" w:hAnsiTheme="minorHAnsi" w:cstheme="minorHAnsi"/>
        </w:rPr>
        <w:t xml:space="preserve"> and as one might expect in the years that followed there was an incremental increase in the number of </w:t>
      </w:r>
      <w:r w:rsidR="00F40AD8">
        <w:rPr>
          <w:rFonts w:asciiTheme="minorHAnsi" w:hAnsiTheme="minorHAnsi" w:cstheme="minorHAnsi"/>
        </w:rPr>
        <w:t>XRW-</w:t>
      </w:r>
      <w:r w:rsidR="0044613C" w:rsidRPr="009554AA">
        <w:rPr>
          <w:rFonts w:asciiTheme="minorHAnsi" w:hAnsiTheme="minorHAnsi" w:cstheme="minorHAnsi"/>
        </w:rPr>
        <w:t>related referrals</w:t>
      </w:r>
      <w:r w:rsidR="00327987" w:rsidRPr="009554AA">
        <w:rPr>
          <w:rFonts w:asciiTheme="minorHAnsi" w:hAnsiTheme="minorHAnsi" w:cstheme="minorHAnsi"/>
        </w:rPr>
        <w:t>.</w:t>
      </w:r>
      <w:r w:rsidR="00327987" w:rsidRPr="009554AA">
        <w:rPr>
          <w:rStyle w:val="FootnoteReference"/>
          <w:rFonts w:asciiTheme="minorHAnsi" w:hAnsiTheme="minorHAnsi" w:cstheme="minorHAnsi"/>
        </w:rPr>
        <w:footnoteReference w:id="84"/>
      </w:r>
      <w:r w:rsidR="00E105CD" w:rsidRPr="009554AA">
        <w:rPr>
          <w:rFonts w:asciiTheme="minorHAnsi" w:hAnsiTheme="minorHAnsi" w:cstheme="minorHAnsi"/>
        </w:rPr>
        <w:t xml:space="preserve"> </w:t>
      </w:r>
      <w:r w:rsidR="00BE6A59">
        <w:rPr>
          <w:rFonts w:asciiTheme="minorHAnsi" w:hAnsiTheme="minorHAnsi" w:cstheme="minorHAnsi"/>
        </w:rPr>
        <w:t xml:space="preserve">Britain has a </w:t>
      </w:r>
      <w:r w:rsidR="00F40AD8">
        <w:rPr>
          <w:rFonts w:asciiTheme="minorHAnsi" w:hAnsiTheme="minorHAnsi" w:cstheme="minorHAnsi"/>
        </w:rPr>
        <w:t xml:space="preserve">very modest </w:t>
      </w:r>
      <w:r w:rsidR="00BE6A59">
        <w:rPr>
          <w:rFonts w:asciiTheme="minorHAnsi" w:hAnsiTheme="minorHAnsi" w:cstheme="minorHAnsi"/>
        </w:rPr>
        <w:t>history of low</w:t>
      </w:r>
      <w:r w:rsidR="00F40AD8">
        <w:rPr>
          <w:rFonts w:asciiTheme="minorHAnsi" w:hAnsiTheme="minorHAnsi" w:cstheme="minorHAnsi"/>
        </w:rPr>
        <w:t>-</w:t>
      </w:r>
      <w:r w:rsidR="00BE6A59">
        <w:rPr>
          <w:rFonts w:asciiTheme="minorHAnsi" w:hAnsiTheme="minorHAnsi" w:cstheme="minorHAnsi"/>
        </w:rPr>
        <w:t xml:space="preserve">level XRW violence with the worst incident of the past three decades occurring in April 1999 with the detonation of three nail bombs in areas of London associated with minority communities by the Neo-Nazi David Copeland. </w:t>
      </w:r>
      <w:r w:rsidR="00E57E20">
        <w:rPr>
          <w:rFonts w:asciiTheme="minorHAnsi" w:hAnsiTheme="minorHAnsi" w:cstheme="minorHAnsi"/>
        </w:rPr>
        <w:t xml:space="preserve">A British Member of Parliament, Jo Cox, was also murdered in June 2016 by a right-wing extremist, Thomas Mair. </w:t>
      </w:r>
      <w:r w:rsidR="00F27691">
        <w:rPr>
          <w:rFonts w:asciiTheme="minorHAnsi" w:hAnsiTheme="minorHAnsi" w:cstheme="minorHAnsi"/>
        </w:rPr>
        <w:t xml:space="preserve">There are currently four XRW groups proscribed by the British government: </w:t>
      </w:r>
      <w:r w:rsidR="00153BD7" w:rsidRPr="009554AA">
        <w:rPr>
          <w:rFonts w:asciiTheme="minorHAnsi" w:hAnsiTheme="minorHAnsi" w:cstheme="minorHAnsi"/>
          <w:color w:val="000000"/>
        </w:rPr>
        <w:t xml:space="preserve">National Action </w:t>
      </w:r>
      <w:r w:rsidR="00F27691">
        <w:rPr>
          <w:rFonts w:asciiTheme="minorHAnsi" w:hAnsiTheme="minorHAnsi" w:cstheme="minorHAnsi"/>
          <w:color w:val="000000"/>
        </w:rPr>
        <w:t>since</w:t>
      </w:r>
      <w:r w:rsidR="00153BD7" w:rsidRPr="009554AA">
        <w:rPr>
          <w:rFonts w:asciiTheme="minorHAnsi" w:hAnsiTheme="minorHAnsi" w:cstheme="minorHAnsi"/>
          <w:color w:val="000000"/>
        </w:rPr>
        <w:t xml:space="preserve"> 2016, </w:t>
      </w:r>
      <w:proofErr w:type="spellStart"/>
      <w:r w:rsidR="00153BD7" w:rsidRPr="00D4396F">
        <w:rPr>
          <w:rFonts w:asciiTheme="minorHAnsi" w:hAnsiTheme="minorHAnsi" w:cstheme="minorHAnsi"/>
          <w:i/>
          <w:iCs/>
          <w:color w:val="000000"/>
        </w:rPr>
        <w:t>Sonnenkrieg</w:t>
      </w:r>
      <w:proofErr w:type="spellEnd"/>
      <w:r w:rsidR="00153BD7" w:rsidRPr="009554AA">
        <w:rPr>
          <w:rFonts w:asciiTheme="minorHAnsi" w:hAnsiTheme="minorHAnsi" w:cstheme="minorHAnsi"/>
          <w:color w:val="000000"/>
        </w:rPr>
        <w:t xml:space="preserve"> Division (SKD) </w:t>
      </w:r>
      <w:r w:rsidR="00F27691">
        <w:rPr>
          <w:rFonts w:asciiTheme="minorHAnsi" w:hAnsiTheme="minorHAnsi" w:cstheme="minorHAnsi"/>
          <w:color w:val="000000"/>
        </w:rPr>
        <w:t>since</w:t>
      </w:r>
      <w:r w:rsidR="00153BD7" w:rsidRPr="009554AA">
        <w:rPr>
          <w:rFonts w:asciiTheme="minorHAnsi" w:hAnsiTheme="minorHAnsi" w:cstheme="minorHAnsi"/>
          <w:color w:val="000000"/>
        </w:rPr>
        <w:t xml:space="preserve"> February 2020</w:t>
      </w:r>
      <w:r w:rsidR="009554AA" w:rsidRPr="009554AA">
        <w:rPr>
          <w:rFonts w:asciiTheme="minorHAnsi" w:hAnsiTheme="minorHAnsi" w:cstheme="minorHAnsi"/>
          <w:color w:val="000000"/>
        </w:rPr>
        <w:t xml:space="preserve">, </w:t>
      </w:r>
      <w:proofErr w:type="spellStart"/>
      <w:r w:rsidR="009554AA" w:rsidRPr="00D4396F">
        <w:rPr>
          <w:rFonts w:asciiTheme="minorHAnsi" w:hAnsiTheme="minorHAnsi" w:cstheme="minorHAnsi"/>
          <w:i/>
          <w:iCs/>
          <w:color w:val="0B0C0C"/>
        </w:rPr>
        <w:t>Feuerkrieg</w:t>
      </w:r>
      <w:proofErr w:type="spellEnd"/>
      <w:r w:rsidR="009554AA" w:rsidRPr="009554AA">
        <w:rPr>
          <w:rFonts w:asciiTheme="minorHAnsi" w:hAnsiTheme="minorHAnsi" w:cstheme="minorHAnsi"/>
          <w:color w:val="0B0C0C"/>
        </w:rPr>
        <w:t xml:space="preserve"> Division (FKD)</w:t>
      </w:r>
      <w:r w:rsidR="009554AA" w:rsidRPr="009554AA">
        <w:rPr>
          <w:rStyle w:val="apple-converted-space"/>
          <w:rFonts w:asciiTheme="minorHAnsi" w:hAnsiTheme="minorHAnsi" w:cstheme="minorHAnsi"/>
          <w:color w:val="0B0C0C"/>
        </w:rPr>
        <w:t> </w:t>
      </w:r>
      <w:r w:rsidR="00F27691">
        <w:rPr>
          <w:rStyle w:val="apple-converted-space"/>
          <w:rFonts w:asciiTheme="minorHAnsi" w:hAnsiTheme="minorHAnsi" w:cstheme="minorHAnsi"/>
          <w:color w:val="0B0C0C"/>
        </w:rPr>
        <w:t>since</w:t>
      </w:r>
      <w:r w:rsidR="009554AA">
        <w:rPr>
          <w:rStyle w:val="apple-converted-space"/>
          <w:rFonts w:asciiTheme="minorHAnsi" w:hAnsiTheme="minorHAnsi" w:cstheme="minorHAnsi"/>
          <w:color w:val="0B0C0C"/>
        </w:rPr>
        <w:t xml:space="preserve"> July 2020</w:t>
      </w:r>
      <w:r w:rsidR="00E57E20">
        <w:rPr>
          <w:rStyle w:val="apple-converted-space"/>
          <w:rFonts w:asciiTheme="minorHAnsi" w:hAnsiTheme="minorHAnsi" w:cstheme="minorHAnsi"/>
          <w:color w:val="0B0C0C"/>
        </w:rPr>
        <w:t>,</w:t>
      </w:r>
      <w:r w:rsidR="00F27691">
        <w:rPr>
          <w:rStyle w:val="apple-converted-space"/>
          <w:rFonts w:asciiTheme="minorHAnsi" w:hAnsiTheme="minorHAnsi" w:cstheme="minorHAnsi"/>
          <w:color w:val="0B0C0C"/>
        </w:rPr>
        <w:t xml:space="preserve"> and The Base since July 2021. Oddly the best known British XRW group, Combat-18, has not been proscribed in the UK although members are banned from joining criminal justice entities. </w:t>
      </w:r>
      <w:r w:rsidR="00F40AD8">
        <w:rPr>
          <w:rFonts w:asciiTheme="minorHAnsi" w:hAnsiTheme="minorHAnsi" w:cstheme="minorHAnsi"/>
        </w:rPr>
        <w:t>However, it must also be acknowledged that there has been no evidence to suggest that XRW groups in the UK have ever managed to progress to a level of capability where they were able to sustain a terrorist campaign, and that the major incidents which have occurred in the past twenty-five years or so can mostly be ascribed to lone actors at best inspired by, rather than acting under the direction of, the proscribed XRW groups and other aligned sympathetic</w:t>
      </w:r>
      <w:r w:rsidR="00F40AD8" w:rsidRPr="00F40AD8">
        <w:rPr>
          <w:rFonts w:asciiTheme="minorHAnsi" w:hAnsiTheme="minorHAnsi" w:cstheme="minorHAnsi"/>
        </w:rPr>
        <w:t xml:space="preserve"> </w:t>
      </w:r>
      <w:r w:rsidR="00F40AD8">
        <w:rPr>
          <w:rFonts w:asciiTheme="minorHAnsi" w:hAnsiTheme="minorHAnsi" w:cstheme="minorHAnsi"/>
        </w:rPr>
        <w:t xml:space="preserve">organizations like Combat 18 and the English </w:t>
      </w:r>
      <w:proofErr w:type="spellStart"/>
      <w:r w:rsidR="00F40AD8">
        <w:rPr>
          <w:rFonts w:asciiTheme="minorHAnsi" w:hAnsiTheme="minorHAnsi" w:cstheme="minorHAnsi"/>
        </w:rPr>
        <w:t>Defence</w:t>
      </w:r>
      <w:proofErr w:type="spellEnd"/>
      <w:r w:rsidR="00F40AD8">
        <w:rPr>
          <w:rFonts w:asciiTheme="minorHAnsi" w:hAnsiTheme="minorHAnsi" w:cstheme="minorHAnsi"/>
        </w:rPr>
        <w:t xml:space="preserve"> League</w:t>
      </w:r>
      <w:r w:rsidR="00D4396F">
        <w:rPr>
          <w:rFonts w:asciiTheme="minorHAnsi" w:hAnsiTheme="minorHAnsi" w:cstheme="minorHAnsi"/>
        </w:rPr>
        <w:t xml:space="preserve"> (EDL)</w:t>
      </w:r>
      <w:r w:rsidR="00F40AD8">
        <w:rPr>
          <w:rFonts w:asciiTheme="minorHAnsi" w:hAnsiTheme="minorHAnsi" w:cstheme="minorHAnsi"/>
        </w:rPr>
        <w:t>.</w:t>
      </w:r>
    </w:p>
    <w:p w14:paraId="02A1E7B7" w14:textId="77777777" w:rsidR="00AC3434" w:rsidRDefault="00AC3434" w:rsidP="00F27691">
      <w:pPr>
        <w:jc w:val="both"/>
        <w:rPr>
          <w:rFonts w:asciiTheme="minorHAnsi" w:hAnsiTheme="minorHAnsi" w:cstheme="minorHAnsi"/>
        </w:rPr>
      </w:pPr>
    </w:p>
    <w:p w14:paraId="2BC9D47E" w14:textId="62ECDCAD" w:rsidR="00D4396F" w:rsidRDefault="005E28FB" w:rsidP="00FA3651">
      <w:pPr>
        <w:jc w:val="both"/>
        <w:rPr>
          <w:rFonts w:asciiTheme="minorHAnsi" w:hAnsiTheme="minorHAnsi" w:cstheme="minorHAnsi"/>
          <w:color w:val="121212"/>
          <w:shd w:val="clear" w:color="auto" w:fill="FFFFFF"/>
        </w:rPr>
      </w:pPr>
      <w:r w:rsidRPr="00A643A5">
        <w:rPr>
          <w:rFonts w:asciiTheme="minorHAnsi" w:hAnsiTheme="minorHAnsi" w:cstheme="minorHAnsi"/>
        </w:rPr>
        <w:t xml:space="preserve">The </w:t>
      </w:r>
      <w:r w:rsidR="00AC3434" w:rsidRPr="00A643A5">
        <w:rPr>
          <w:rFonts w:asciiTheme="minorHAnsi" w:hAnsiTheme="minorHAnsi" w:cstheme="minorHAnsi"/>
        </w:rPr>
        <w:t xml:space="preserve">current </w:t>
      </w:r>
      <w:r w:rsidRPr="00A643A5">
        <w:rPr>
          <w:rFonts w:asciiTheme="minorHAnsi" w:hAnsiTheme="minorHAnsi" w:cstheme="minorHAnsi"/>
        </w:rPr>
        <w:t xml:space="preserve">threat </w:t>
      </w:r>
      <w:r w:rsidR="00AC3434" w:rsidRPr="00A643A5">
        <w:rPr>
          <w:rFonts w:asciiTheme="minorHAnsi" w:hAnsiTheme="minorHAnsi" w:cstheme="minorHAnsi"/>
        </w:rPr>
        <w:t xml:space="preserve">posed by XRW actors </w:t>
      </w:r>
      <w:r w:rsidRPr="00A643A5">
        <w:rPr>
          <w:rFonts w:asciiTheme="minorHAnsi" w:hAnsiTheme="minorHAnsi" w:cstheme="minorHAnsi"/>
        </w:rPr>
        <w:t xml:space="preserve">is </w:t>
      </w:r>
      <w:r w:rsidR="005B6EC4">
        <w:rPr>
          <w:rFonts w:asciiTheme="minorHAnsi" w:hAnsiTheme="minorHAnsi" w:cstheme="minorHAnsi"/>
        </w:rPr>
        <w:t xml:space="preserve">therefore </w:t>
      </w:r>
      <w:r w:rsidR="00AC3434" w:rsidRPr="00A643A5">
        <w:rPr>
          <w:rFonts w:asciiTheme="minorHAnsi" w:hAnsiTheme="minorHAnsi" w:cstheme="minorHAnsi"/>
        </w:rPr>
        <w:t xml:space="preserve">quantifiably </w:t>
      </w:r>
      <w:r w:rsidR="00DC3D08">
        <w:rPr>
          <w:rFonts w:asciiTheme="minorHAnsi" w:hAnsiTheme="minorHAnsi" w:cstheme="minorHAnsi"/>
        </w:rPr>
        <w:t>of a</w:t>
      </w:r>
      <w:r w:rsidR="00AC3434" w:rsidRPr="00A643A5">
        <w:rPr>
          <w:rFonts w:asciiTheme="minorHAnsi" w:hAnsiTheme="minorHAnsi" w:cstheme="minorHAnsi"/>
        </w:rPr>
        <w:t xml:space="preserve"> lower</w:t>
      </w:r>
      <w:r w:rsidRPr="00A643A5">
        <w:rPr>
          <w:rFonts w:asciiTheme="minorHAnsi" w:hAnsiTheme="minorHAnsi" w:cstheme="minorHAnsi"/>
        </w:rPr>
        <w:t xml:space="preserve"> order of magnitude than that posed by supporters of </w:t>
      </w:r>
      <w:r w:rsidRPr="00D4396F">
        <w:rPr>
          <w:rFonts w:asciiTheme="minorHAnsi" w:hAnsiTheme="minorHAnsi" w:cstheme="minorHAnsi"/>
          <w:i/>
          <w:iCs/>
        </w:rPr>
        <w:t>al-Qaeda</w:t>
      </w:r>
      <w:r w:rsidRPr="00A643A5">
        <w:rPr>
          <w:rFonts w:asciiTheme="minorHAnsi" w:hAnsiTheme="minorHAnsi" w:cstheme="minorHAnsi"/>
        </w:rPr>
        <w:t xml:space="preserve"> or ISIL</w:t>
      </w:r>
      <w:r w:rsidR="00B1379B" w:rsidRPr="00A643A5">
        <w:rPr>
          <w:rFonts w:asciiTheme="minorHAnsi" w:hAnsiTheme="minorHAnsi" w:cstheme="minorHAnsi"/>
        </w:rPr>
        <w:t>,</w:t>
      </w:r>
      <w:r w:rsidRPr="00A643A5">
        <w:rPr>
          <w:rFonts w:asciiTheme="minorHAnsi" w:hAnsiTheme="minorHAnsi" w:cstheme="minorHAnsi"/>
        </w:rPr>
        <w:t xml:space="preserve"> and mostly relate</w:t>
      </w:r>
      <w:r w:rsidR="00AC3434" w:rsidRPr="00A643A5">
        <w:rPr>
          <w:rFonts w:asciiTheme="minorHAnsi" w:hAnsiTheme="minorHAnsi" w:cstheme="minorHAnsi"/>
        </w:rPr>
        <w:t>s</w:t>
      </w:r>
      <w:r w:rsidRPr="00A643A5">
        <w:rPr>
          <w:rFonts w:asciiTheme="minorHAnsi" w:hAnsiTheme="minorHAnsi" w:cstheme="minorHAnsi"/>
        </w:rPr>
        <w:t xml:space="preserve"> to violent extremist rhetoric rather than actual violence</w:t>
      </w:r>
      <w:r w:rsidR="00AC3434" w:rsidRPr="00A643A5">
        <w:rPr>
          <w:rFonts w:asciiTheme="minorHAnsi" w:hAnsiTheme="minorHAnsi" w:cstheme="minorHAnsi"/>
        </w:rPr>
        <w:t xml:space="preserve"> or terrorism</w:t>
      </w:r>
      <w:r w:rsidRPr="00A643A5">
        <w:rPr>
          <w:rFonts w:asciiTheme="minorHAnsi" w:hAnsiTheme="minorHAnsi" w:cstheme="minorHAnsi"/>
        </w:rPr>
        <w:t>.</w:t>
      </w:r>
      <w:r w:rsidR="00AC3434" w:rsidRPr="00A643A5">
        <w:rPr>
          <w:rFonts w:asciiTheme="minorHAnsi" w:hAnsiTheme="minorHAnsi" w:cstheme="minorHAnsi"/>
        </w:rPr>
        <w:t xml:space="preserve"> </w:t>
      </w:r>
      <w:r w:rsidR="00114200">
        <w:rPr>
          <w:rFonts w:asciiTheme="minorHAnsi" w:hAnsiTheme="minorHAnsi" w:cstheme="minorHAnsi"/>
        </w:rPr>
        <w:t>Admittedly, s</w:t>
      </w:r>
      <w:r w:rsidR="00A7318A" w:rsidRPr="00A643A5">
        <w:rPr>
          <w:rFonts w:asciiTheme="minorHAnsi" w:hAnsiTheme="minorHAnsi" w:cstheme="minorHAnsi"/>
        </w:rPr>
        <w:t xml:space="preserve">ince </w:t>
      </w:r>
      <w:r w:rsidR="00A7318A" w:rsidRPr="006503BA">
        <w:rPr>
          <w:rFonts w:asciiTheme="minorHAnsi" w:hAnsiTheme="minorHAnsi" w:cstheme="minorHAnsi"/>
          <w:color w:val="121212"/>
          <w:shd w:val="clear" w:color="auto" w:fill="FFFFFF"/>
        </w:rPr>
        <w:t xml:space="preserve">March 2017, </w:t>
      </w:r>
      <w:r w:rsidR="00A7318A" w:rsidRPr="00A643A5">
        <w:rPr>
          <w:rFonts w:asciiTheme="minorHAnsi" w:hAnsiTheme="minorHAnsi" w:cstheme="minorHAnsi"/>
          <w:color w:val="121212"/>
          <w:shd w:val="clear" w:color="auto" w:fill="FFFFFF"/>
        </w:rPr>
        <w:t xml:space="preserve">British </w:t>
      </w:r>
      <w:r w:rsidR="00A7318A" w:rsidRPr="006503BA">
        <w:rPr>
          <w:rFonts w:asciiTheme="minorHAnsi" w:hAnsiTheme="minorHAnsi" w:cstheme="minorHAnsi"/>
          <w:color w:val="121212"/>
          <w:shd w:val="clear" w:color="auto" w:fill="FFFFFF"/>
        </w:rPr>
        <w:t xml:space="preserve">counter-terrorism police and the intelligence services </w:t>
      </w:r>
      <w:r w:rsidR="00A7318A" w:rsidRPr="00A643A5">
        <w:rPr>
          <w:rFonts w:asciiTheme="minorHAnsi" w:hAnsiTheme="minorHAnsi" w:cstheme="minorHAnsi"/>
          <w:color w:val="121212"/>
          <w:shd w:val="clear" w:color="auto" w:fill="FFFFFF"/>
        </w:rPr>
        <w:t xml:space="preserve">claim to </w:t>
      </w:r>
      <w:r w:rsidR="00A7318A" w:rsidRPr="006503BA">
        <w:rPr>
          <w:rFonts w:asciiTheme="minorHAnsi" w:hAnsiTheme="minorHAnsi" w:cstheme="minorHAnsi"/>
          <w:color w:val="121212"/>
          <w:shd w:val="clear" w:color="auto" w:fill="FFFFFF"/>
        </w:rPr>
        <w:t xml:space="preserve">have </w:t>
      </w:r>
      <w:r w:rsidR="00A7318A" w:rsidRPr="00A643A5">
        <w:rPr>
          <w:rFonts w:asciiTheme="minorHAnsi" w:hAnsiTheme="minorHAnsi" w:cstheme="minorHAnsi"/>
          <w:color w:val="121212"/>
          <w:shd w:val="clear" w:color="auto" w:fill="FFFFFF"/>
        </w:rPr>
        <w:t>interdicted</w:t>
      </w:r>
      <w:r w:rsidR="00A7318A" w:rsidRPr="006503BA">
        <w:rPr>
          <w:rFonts w:asciiTheme="minorHAnsi" w:hAnsiTheme="minorHAnsi" w:cstheme="minorHAnsi"/>
          <w:color w:val="121212"/>
          <w:shd w:val="clear" w:color="auto" w:fill="FFFFFF"/>
        </w:rPr>
        <w:t xml:space="preserve"> </w:t>
      </w:r>
      <w:r w:rsidR="00A7318A" w:rsidRPr="00A643A5">
        <w:rPr>
          <w:rFonts w:asciiTheme="minorHAnsi" w:hAnsiTheme="minorHAnsi" w:cstheme="minorHAnsi"/>
          <w:color w:val="121212"/>
          <w:shd w:val="clear" w:color="auto" w:fill="FFFFFF"/>
        </w:rPr>
        <w:t>twelve</w:t>
      </w:r>
      <w:r w:rsidR="00A7318A" w:rsidRPr="006503BA">
        <w:rPr>
          <w:rFonts w:asciiTheme="minorHAnsi" w:hAnsiTheme="minorHAnsi" w:cstheme="minorHAnsi"/>
          <w:color w:val="121212"/>
          <w:shd w:val="clear" w:color="auto" w:fill="FFFFFF"/>
        </w:rPr>
        <w:t xml:space="preserve"> </w:t>
      </w:r>
      <w:r w:rsidR="00A7318A" w:rsidRPr="00A643A5">
        <w:rPr>
          <w:rFonts w:asciiTheme="minorHAnsi" w:hAnsiTheme="minorHAnsi" w:cstheme="minorHAnsi"/>
          <w:color w:val="121212"/>
          <w:shd w:val="clear" w:color="auto" w:fill="FFFFFF"/>
        </w:rPr>
        <w:t>“terrorist plots” inspired</w:t>
      </w:r>
      <w:r w:rsidR="00A7318A" w:rsidRPr="006503BA">
        <w:rPr>
          <w:rFonts w:asciiTheme="minorHAnsi" w:hAnsiTheme="minorHAnsi" w:cstheme="minorHAnsi"/>
          <w:color w:val="121212"/>
          <w:shd w:val="clear" w:color="auto" w:fill="FFFFFF"/>
        </w:rPr>
        <w:t xml:space="preserve"> by extreme rightwing terrorist ideology.</w:t>
      </w:r>
      <w:r w:rsidR="00A7318A" w:rsidRPr="00A643A5">
        <w:rPr>
          <w:rStyle w:val="FootnoteReference"/>
          <w:rFonts w:asciiTheme="minorHAnsi" w:hAnsiTheme="minorHAnsi" w:cstheme="minorHAnsi"/>
          <w:color w:val="121212"/>
          <w:shd w:val="clear" w:color="auto" w:fill="FFFFFF"/>
        </w:rPr>
        <w:footnoteReference w:id="85"/>
      </w:r>
      <w:r w:rsidR="00220B3D" w:rsidRPr="00A643A5">
        <w:rPr>
          <w:rFonts w:asciiTheme="minorHAnsi" w:hAnsiTheme="minorHAnsi" w:cstheme="minorHAnsi"/>
          <w:color w:val="121212"/>
          <w:shd w:val="clear" w:color="auto" w:fill="FFFFFF"/>
        </w:rPr>
        <w:t xml:space="preserve"> </w:t>
      </w:r>
      <w:r w:rsidR="00114200">
        <w:rPr>
          <w:rFonts w:asciiTheme="minorHAnsi" w:hAnsiTheme="minorHAnsi" w:cstheme="minorHAnsi"/>
          <w:color w:val="121212"/>
          <w:shd w:val="clear" w:color="auto" w:fill="FFFFFF"/>
        </w:rPr>
        <w:t xml:space="preserve">Furthermore, </w:t>
      </w:r>
      <w:r w:rsidR="00A643A5" w:rsidRPr="00A643A5">
        <w:rPr>
          <w:rFonts w:asciiTheme="minorHAnsi" w:hAnsiTheme="minorHAnsi" w:cstheme="minorHAnsi"/>
          <w:color w:val="121212"/>
          <w:shd w:val="clear" w:color="auto" w:fill="FFFFFF"/>
        </w:rPr>
        <w:t>41% of terrorism-related arrests in 2021 related to XRW activity, and the Metropolitan Police’s Head of Counter-Terrorism, Matt Jukes, told reporters in March 2022 that 19 out of 20 children who had been arrested in the previous 12 months for terrorism offences were linked to XRW ideologies.</w:t>
      </w:r>
      <w:r w:rsidR="00A643A5" w:rsidRPr="00A643A5">
        <w:rPr>
          <w:rStyle w:val="FootnoteReference"/>
          <w:rFonts w:asciiTheme="minorHAnsi" w:hAnsiTheme="minorHAnsi" w:cstheme="minorHAnsi"/>
          <w:color w:val="121212"/>
          <w:shd w:val="clear" w:color="auto" w:fill="FFFFFF"/>
        </w:rPr>
        <w:footnoteReference w:id="86"/>
      </w:r>
      <w:r w:rsidR="00A643A5" w:rsidRPr="00A643A5">
        <w:rPr>
          <w:rFonts w:asciiTheme="minorHAnsi" w:hAnsiTheme="minorHAnsi" w:cstheme="minorHAnsi"/>
          <w:color w:val="121212"/>
          <w:shd w:val="clear" w:color="auto" w:fill="FFFFFF"/>
        </w:rPr>
        <w:t xml:space="preserve"> </w:t>
      </w:r>
      <w:r w:rsidR="002D333B">
        <w:rPr>
          <w:rFonts w:asciiTheme="minorHAnsi" w:hAnsiTheme="minorHAnsi" w:cstheme="minorHAnsi"/>
          <w:color w:val="121212"/>
          <w:shd w:val="clear" w:color="auto" w:fill="FFFFFF"/>
        </w:rPr>
        <w:t>However,</w:t>
      </w:r>
      <w:r w:rsidR="00114200">
        <w:rPr>
          <w:rFonts w:asciiTheme="minorHAnsi" w:hAnsiTheme="minorHAnsi" w:cstheme="minorHAnsi"/>
          <w:color w:val="121212"/>
          <w:shd w:val="clear" w:color="auto" w:fill="FFFFFF"/>
        </w:rPr>
        <w:t xml:space="preserve"> suspected plots and arrests are not the same as cases proven in a court of law and convictions upheld. </w:t>
      </w:r>
      <w:r w:rsidR="001D2526">
        <w:rPr>
          <w:rFonts w:asciiTheme="minorHAnsi" w:hAnsiTheme="minorHAnsi" w:cstheme="minorHAnsi"/>
          <w:color w:val="121212"/>
          <w:shd w:val="clear" w:color="auto" w:fill="FFFFFF"/>
        </w:rPr>
        <w:t>If we look at these</w:t>
      </w:r>
      <w:r w:rsidR="00DC3D08">
        <w:rPr>
          <w:rFonts w:asciiTheme="minorHAnsi" w:hAnsiTheme="minorHAnsi" w:cstheme="minorHAnsi"/>
          <w:color w:val="121212"/>
          <w:shd w:val="clear" w:color="auto" w:fill="FFFFFF"/>
        </w:rPr>
        <w:t xml:space="preserve">, the numbers are far less intimidating. </w:t>
      </w:r>
      <w:r w:rsidR="000A4B9C">
        <w:rPr>
          <w:rFonts w:asciiTheme="minorHAnsi" w:hAnsiTheme="minorHAnsi" w:cstheme="minorHAnsi"/>
          <w:color w:val="121212"/>
          <w:shd w:val="clear" w:color="auto" w:fill="FFFFFF"/>
        </w:rPr>
        <w:t xml:space="preserve">Indeed, </w:t>
      </w:r>
      <w:r w:rsidR="001D2526">
        <w:rPr>
          <w:rFonts w:asciiTheme="minorHAnsi" w:hAnsiTheme="minorHAnsi" w:cstheme="minorHAnsi"/>
          <w:color w:val="121212"/>
          <w:shd w:val="clear" w:color="auto" w:fill="FFFFFF"/>
        </w:rPr>
        <w:t xml:space="preserve">an </w:t>
      </w:r>
      <w:r w:rsidR="000A4B9C">
        <w:rPr>
          <w:rFonts w:asciiTheme="minorHAnsi" w:hAnsiTheme="minorHAnsi" w:cstheme="minorHAnsi"/>
          <w:color w:val="121212"/>
          <w:shd w:val="clear" w:color="auto" w:fill="FFFFFF"/>
        </w:rPr>
        <w:t xml:space="preserve">MI5 Strategic Intelligence Group paper issued in January 2020 acknowledged </w:t>
      </w:r>
      <w:r w:rsidR="007A22F9">
        <w:rPr>
          <w:rFonts w:asciiTheme="minorHAnsi" w:hAnsiTheme="minorHAnsi" w:cstheme="minorHAnsi"/>
          <w:color w:val="121212"/>
          <w:shd w:val="clear" w:color="auto" w:fill="FFFFFF"/>
        </w:rPr>
        <w:t xml:space="preserve">that </w:t>
      </w:r>
      <w:r w:rsidR="007A22F9" w:rsidRPr="007A22F9">
        <w:rPr>
          <w:rFonts w:asciiTheme="minorHAnsi" w:hAnsiTheme="minorHAnsi" w:cstheme="minorHAnsi"/>
          <w:color w:val="000000"/>
        </w:rPr>
        <w:t xml:space="preserve">“the official number of </w:t>
      </w:r>
      <w:r w:rsidR="001D2526">
        <w:rPr>
          <w:rFonts w:asciiTheme="minorHAnsi" w:hAnsiTheme="minorHAnsi" w:cstheme="minorHAnsi"/>
          <w:color w:val="000000"/>
        </w:rPr>
        <w:t>[XRW]</w:t>
      </w:r>
      <w:r w:rsidR="007A22F9" w:rsidRPr="007A22F9">
        <w:rPr>
          <w:rFonts w:asciiTheme="minorHAnsi" w:hAnsiTheme="minorHAnsi" w:cstheme="minorHAnsi"/>
          <w:color w:val="000000"/>
        </w:rPr>
        <w:t xml:space="preserve"> attacks has not increased significantly in recent years.”</w:t>
      </w:r>
      <w:r w:rsidR="007A22F9">
        <w:rPr>
          <w:rStyle w:val="FootnoteReference"/>
          <w:rFonts w:asciiTheme="minorHAnsi" w:hAnsiTheme="minorHAnsi" w:cstheme="minorHAnsi"/>
          <w:color w:val="000000"/>
        </w:rPr>
        <w:footnoteReference w:id="87"/>
      </w:r>
      <w:r w:rsidR="007A22F9">
        <w:rPr>
          <w:rFonts w:asciiTheme="minorHAnsi" w:hAnsiTheme="minorHAnsi" w:cstheme="minorHAnsi"/>
          <w:color w:val="121212"/>
          <w:shd w:val="clear" w:color="auto" w:fill="FFFFFF"/>
        </w:rPr>
        <w:t xml:space="preserve"> </w:t>
      </w:r>
      <w:r w:rsidR="00220B3D" w:rsidRPr="00A643A5">
        <w:rPr>
          <w:rFonts w:asciiTheme="minorHAnsi" w:hAnsiTheme="minorHAnsi" w:cstheme="minorHAnsi"/>
          <w:color w:val="121212"/>
          <w:shd w:val="clear" w:color="auto" w:fill="FFFFFF"/>
        </w:rPr>
        <w:t xml:space="preserve">The last successful </w:t>
      </w:r>
      <w:r w:rsidR="00A643A5" w:rsidRPr="00A643A5">
        <w:rPr>
          <w:rFonts w:asciiTheme="minorHAnsi" w:hAnsiTheme="minorHAnsi" w:cstheme="minorHAnsi"/>
          <w:color w:val="121212"/>
          <w:shd w:val="clear" w:color="auto" w:fill="FFFFFF"/>
        </w:rPr>
        <w:t xml:space="preserve">XRW </w:t>
      </w:r>
      <w:r w:rsidR="00220B3D" w:rsidRPr="00A643A5">
        <w:rPr>
          <w:rFonts w:asciiTheme="minorHAnsi" w:hAnsiTheme="minorHAnsi" w:cstheme="minorHAnsi"/>
          <w:color w:val="121212"/>
          <w:shd w:val="clear" w:color="auto" w:fill="FFFFFF"/>
        </w:rPr>
        <w:t xml:space="preserve">attack occurred in June 2017 when Darren Osborne drove a </w:t>
      </w:r>
      <w:r w:rsidR="00A643A5" w:rsidRPr="00A643A5">
        <w:rPr>
          <w:rFonts w:asciiTheme="minorHAnsi" w:hAnsiTheme="minorHAnsi" w:cstheme="minorHAnsi"/>
          <w:color w:val="121212"/>
          <w:shd w:val="clear" w:color="auto" w:fill="FFFFFF"/>
        </w:rPr>
        <w:t xml:space="preserve">hired </w:t>
      </w:r>
      <w:r w:rsidR="00220B3D" w:rsidRPr="00A643A5">
        <w:rPr>
          <w:rFonts w:asciiTheme="minorHAnsi" w:hAnsiTheme="minorHAnsi" w:cstheme="minorHAnsi"/>
          <w:color w:val="121212"/>
          <w:shd w:val="clear" w:color="auto" w:fill="FFFFFF"/>
        </w:rPr>
        <w:t xml:space="preserve">van into a crowd of worshippers outside </w:t>
      </w:r>
      <w:proofErr w:type="spellStart"/>
      <w:r w:rsidR="00220B3D" w:rsidRPr="00A643A5">
        <w:rPr>
          <w:rFonts w:asciiTheme="minorHAnsi" w:hAnsiTheme="minorHAnsi" w:cstheme="minorHAnsi"/>
          <w:color w:val="121212"/>
          <w:shd w:val="clear" w:color="auto" w:fill="FFFFFF"/>
        </w:rPr>
        <w:t>Finsbury</w:t>
      </w:r>
      <w:proofErr w:type="spellEnd"/>
      <w:r w:rsidR="00220B3D" w:rsidRPr="00A643A5">
        <w:rPr>
          <w:rFonts w:asciiTheme="minorHAnsi" w:hAnsiTheme="minorHAnsi" w:cstheme="minorHAnsi"/>
          <w:color w:val="121212"/>
          <w:shd w:val="clear" w:color="auto" w:fill="FFFFFF"/>
        </w:rPr>
        <w:t xml:space="preserve"> Park mosque, killing one</w:t>
      </w:r>
      <w:r w:rsidR="00A643A5" w:rsidRPr="00A643A5">
        <w:rPr>
          <w:rFonts w:asciiTheme="minorHAnsi" w:hAnsiTheme="minorHAnsi" w:cstheme="minorHAnsi"/>
          <w:color w:val="121212"/>
          <w:shd w:val="clear" w:color="auto" w:fill="FFFFFF"/>
        </w:rPr>
        <w:t xml:space="preserve"> and injuring ten</w:t>
      </w:r>
      <w:r w:rsidR="00220B3D" w:rsidRPr="00A643A5">
        <w:rPr>
          <w:rFonts w:asciiTheme="minorHAnsi" w:hAnsiTheme="minorHAnsi" w:cstheme="minorHAnsi"/>
          <w:color w:val="121212"/>
          <w:shd w:val="clear" w:color="auto" w:fill="FFFFFF"/>
        </w:rPr>
        <w:t>.</w:t>
      </w:r>
      <w:r w:rsidR="00A643A5" w:rsidRPr="00A643A5">
        <w:rPr>
          <w:rFonts w:asciiTheme="minorHAnsi" w:hAnsiTheme="minorHAnsi" w:cstheme="minorHAnsi"/>
          <w:color w:val="121212"/>
          <w:shd w:val="clear" w:color="auto" w:fill="FFFFFF"/>
        </w:rPr>
        <w:t xml:space="preserve"> </w:t>
      </w:r>
      <w:r w:rsidR="00114200">
        <w:rPr>
          <w:rFonts w:asciiTheme="minorHAnsi" w:hAnsiTheme="minorHAnsi" w:cstheme="minorHAnsi"/>
          <w:color w:val="121212"/>
          <w:shd w:val="clear" w:color="auto" w:fill="FFFFFF"/>
        </w:rPr>
        <w:t>T</w:t>
      </w:r>
      <w:r w:rsidR="00A643A5" w:rsidRPr="00A643A5">
        <w:rPr>
          <w:rFonts w:asciiTheme="minorHAnsi" w:hAnsiTheme="minorHAnsi" w:cstheme="minorHAnsi"/>
          <w:color w:val="121212"/>
          <w:shd w:val="clear" w:color="auto" w:fill="FFFFFF"/>
        </w:rPr>
        <w:t xml:space="preserve">he total number of recorded victims </w:t>
      </w:r>
      <w:r w:rsidR="00114200">
        <w:rPr>
          <w:rFonts w:asciiTheme="minorHAnsi" w:hAnsiTheme="minorHAnsi" w:cstheme="minorHAnsi"/>
          <w:color w:val="121212"/>
          <w:shd w:val="clear" w:color="auto" w:fill="FFFFFF"/>
        </w:rPr>
        <w:t>killed by</w:t>
      </w:r>
      <w:r w:rsidR="00A643A5" w:rsidRPr="00A643A5">
        <w:rPr>
          <w:rFonts w:asciiTheme="minorHAnsi" w:hAnsiTheme="minorHAnsi" w:cstheme="minorHAnsi"/>
          <w:color w:val="121212"/>
          <w:shd w:val="clear" w:color="auto" w:fill="FFFFFF"/>
        </w:rPr>
        <w:t xml:space="preserve"> right-wing terrorism in the UK </w:t>
      </w:r>
      <w:r w:rsidR="002A4F05">
        <w:rPr>
          <w:rFonts w:asciiTheme="minorHAnsi" w:hAnsiTheme="minorHAnsi" w:cstheme="minorHAnsi"/>
          <w:color w:val="121212"/>
          <w:shd w:val="clear" w:color="auto" w:fill="FFFFFF"/>
        </w:rPr>
        <w:t xml:space="preserve">still </w:t>
      </w:r>
      <w:r w:rsidR="00A643A5" w:rsidRPr="00A643A5">
        <w:rPr>
          <w:rFonts w:asciiTheme="minorHAnsi" w:hAnsiTheme="minorHAnsi" w:cstheme="minorHAnsi"/>
          <w:color w:val="121212"/>
          <w:shd w:val="clear" w:color="auto" w:fill="FFFFFF"/>
        </w:rPr>
        <w:t>remains in single figures.</w:t>
      </w:r>
      <w:r w:rsidR="00114200">
        <w:rPr>
          <w:rFonts w:asciiTheme="minorHAnsi" w:hAnsiTheme="minorHAnsi" w:cstheme="minorHAnsi"/>
          <w:color w:val="121212"/>
          <w:shd w:val="clear" w:color="auto" w:fill="FFFFFF"/>
        </w:rPr>
        <w:t xml:space="preserve"> It is hard to escape the conclusion that despite the hype, the XRW threat in the UK is </w:t>
      </w:r>
      <w:r w:rsidR="00114200">
        <w:rPr>
          <w:rFonts w:asciiTheme="minorHAnsi" w:hAnsiTheme="minorHAnsi" w:cstheme="minorHAnsi"/>
          <w:color w:val="121212"/>
          <w:shd w:val="clear" w:color="auto" w:fill="FFFFFF"/>
        </w:rPr>
        <w:lastRenderedPageBreak/>
        <w:t>still more smoke than fire</w:t>
      </w:r>
      <w:r w:rsidR="00DC3D08">
        <w:rPr>
          <w:rFonts w:asciiTheme="minorHAnsi" w:hAnsiTheme="minorHAnsi" w:cstheme="minorHAnsi"/>
          <w:color w:val="121212"/>
          <w:shd w:val="clear" w:color="auto" w:fill="FFFFFF"/>
        </w:rPr>
        <w:t xml:space="preserve">, which </w:t>
      </w:r>
      <w:r w:rsidR="00FA3651">
        <w:rPr>
          <w:rFonts w:asciiTheme="minorHAnsi" w:hAnsiTheme="minorHAnsi" w:cstheme="minorHAnsi"/>
          <w:color w:val="121212"/>
          <w:shd w:val="clear" w:color="auto" w:fill="FFFFFF"/>
        </w:rPr>
        <w:t xml:space="preserve">raises the question of the Prevent strategy’s </w:t>
      </w:r>
      <w:r w:rsidR="00DC3D08">
        <w:rPr>
          <w:rFonts w:asciiTheme="minorHAnsi" w:hAnsiTheme="minorHAnsi" w:cstheme="minorHAnsi"/>
          <w:color w:val="121212"/>
          <w:shd w:val="clear" w:color="auto" w:fill="FFFFFF"/>
        </w:rPr>
        <w:t xml:space="preserve">potential </w:t>
      </w:r>
      <w:r w:rsidR="00FA3651">
        <w:rPr>
          <w:rFonts w:asciiTheme="minorHAnsi" w:hAnsiTheme="minorHAnsi" w:cstheme="minorHAnsi"/>
          <w:color w:val="121212"/>
          <w:shd w:val="clear" w:color="auto" w:fill="FFFFFF"/>
        </w:rPr>
        <w:t>role in the escalating figures</w:t>
      </w:r>
      <w:r w:rsidR="00DC3D08">
        <w:rPr>
          <w:rFonts w:asciiTheme="minorHAnsi" w:hAnsiTheme="minorHAnsi" w:cstheme="minorHAnsi"/>
          <w:color w:val="121212"/>
          <w:shd w:val="clear" w:color="auto" w:fill="FFFFFF"/>
        </w:rPr>
        <w:t xml:space="preserve"> reported by the authorities.</w:t>
      </w:r>
      <w:r w:rsidR="00FA3651">
        <w:rPr>
          <w:rFonts w:asciiTheme="minorHAnsi" w:hAnsiTheme="minorHAnsi" w:cstheme="minorHAnsi"/>
          <w:color w:val="121212"/>
          <w:shd w:val="clear" w:color="auto" w:fill="FFFFFF"/>
        </w:rPr>
        <w:t xml:space="preserve"> </w:t>
      </w:r>
      <w:r w:rsidR="00DC3D08">
        <w:rPr>
          <w:rFonts w:asciiTheme="minorHAnsi" w:hAnsiTheme="minorHAnsi" w:cstheme="minorHAnsi"/>
          <w:color w:val="121212"/>
          <w:shd w:val="clear" w:color="auto" w:fill="FFFFFF"/>
        </w:rPr>
        <w:t>H</w:t>
      </w:r>
      <w:r w:rsidR="00FA3651">
        <w:rPr>
          <w:rFonts w:asciiTheme="minorHAnsi" w:hAnsiTheme="minorHAnsi" w:cstheme="minorHAnsi"/>
          <w:color w:val="121212"/>
          <w:shd w:val="clear" w:color="auto" w:fill="FFFFFF"/>
        </w:rPr>
        <w:t xml:space="preserve">as the threat really increased or has an increased focus on XRW issues simply generated more and more false positives? It is extremely hard to say with any certainty, and this is an area that requires further independent research and greater transparency regarding government data. </w:t>
      </w:r>
    </w:p>
    <w:p w14:paraId="26E02DEE" w14:textId="77777777" w:rsidR="007A22F9" w:rsidRDefault="007A22F9" w:rsidP="00FA3651">
      <w:pPr>
        <w:jc w:val="both"/>
        <w:rPr>
          <w:rFonts w:asciiTheme="minorHAnsi" w:hAnsiTheme="minorHAnsi" w:cstheme="minorHAnsi"/>
          <w:color w:val="121212"/>
          <w:shd w:val="clear" w:color="auto" w:fill="FFFFFF"/>
        </w:rPr>
      </w:pPr>
    </w:p>
    <w:p w14:paraId="380640F8" w14:textId="6DEC731E" w:rsidR="00F40AD8" w:rsidRDefault="003D7170" w:rsidP="00FA3651">
      <w:pPr>
        <w:jc w:val="both"/>
        <w:rPr>
          <w:rFonts w:asciiTheme="minorHAnsi" w:hAnsiTheme="minorHAnsi" w:cstheme="minorHAnsi"/>
        </w:rPr>
      </w:pPr>
      <w:r>
        <w:rPr>
          <w:rFonts w:asciiTheme="minorHAnsi" w:hAnsiTheme="minorHAnsi" w:cstheme="minorHAnsi"/>
          <w:iCs/>
          <w:color w:val="121212"/>
          <w:shd w:val="clear" w:color="auto" w:fill="FFFFFF"/>
        </w:rPr>
        <w:t xml:space="preserve">If </w:t>
      </w:r>
      <w:r w:rsidR="00AC3434">
        <w:rPr>
          <w:rFonts w:asciiTheme="minorHAnsi" w:hAnsiTheme="minorHAnsi" w:cstheme="minorHAnsi"/>
        </w:rPr>
        <w:t xml:space="preserve">the Prevent strategy </w:t>
      </w:r>
      <w:r w:rsidR="002A4F05">
        <w:rPr>
          <w:rFonts w:asciiTheme="minorHAnsi" w:hAnsiTheme="minorHAnsi" w:cstheme="minorHAnsi"/>
        </w:rPr>
        <w:t xml:space="preserve">had </w:t>
      </w:r>
      <w:r w:rsidR="00AC3434">
        <w:rPr>
          <w:rFonts w:asciiTheme="minorHAnsi" w:hAnsiTheme="minorHAnsi" w:cstheme="minorHAnsi"/>
        </w:rPr>
        <w:t xml:space="preserve">not </w:t>
      </w:r>
      <w:r w:rsidR="00B1379B">
        <w:rPr>
          <w:rFonts w:asciiTheme="minorHAnsi" w:hAnsiTheme="minorHAnsi" w:cstheme="minorHAnsi"/>
        </w:rPr>
        <w:t xml:space="preserve">already </w:t>
      </w:r>
      <w:r w:rsidR="00FA3651">
        <w:rPr>
          <w:rFonts w:asciiTheme="minorHAnsi" w:hAnsiTheme="minorHAnsi" w:cstheme="minorHAnsi"/>
        </w:rPr>
        <w:t xml:space="preserve">existed it is unlikely that there would have been a pressing need </w:t>
      </w:r>
      <w:r w:rsidR="002A4F05">
        <w:rPr>
          <w:rFonts w:asciiTheme="minorHAnsi" w:hAnsiTheme="minorHAnsi" w:cstheme="minorHAnsi"/>
        </w:rPr>
        <w:t xml:space="preserve">identified </w:t>
      </w:r>
      <w:r w:rsidR="008C65A1">
        <w:rPr>
          <w:rFonts w:asciiTheme="minorHAnsi" w:hAnsiTheme="minorHAnsi" w:cstheme="minorHAnsi"/>
        </w:rPr>
        <w:t>to develop such a pervasive national policy tool to respond to the threat posed by XRW groups.</w:t>
      </w:r>
      <w:r w:rsidR="00B1379B">
        <w:rPr>
          <w:rFonts w:asciiTheme="minorHAnsi" w:hAnsiTheme="minorHAnsi" w:cstheme="minorHAnsi"/>
        </w:rPr>
        <w:t xml:space="preserve"> </w:t>
      </w:r>
      <w:r w:rsidR="004D5A28">
        <w:rPr>
          <w:rFonts w:asciiTheme="minorHAnsi" w:hAnsiTheme="minorHAnsi" w:cstheme="minorHAnsi"/>
        </w:rPr>
        <w:t>Indeed s</w:t>
      </w:r>
      <w:r w:rsidR="009A42A6">
        <w:rPr>
          <w:rFonts w:asciiTheme="minorHAnsi" w:hAnsiTheme="minorHAnsi" w:cstheme="minorHAnsi"/>
        </w:rPr>
        <w:t>ome researchers, like Craig McCann, have suggested that XRW was only added</w:t>
      </w:r>
      <w:r w:rsidR="003359ED">
        <w:rPr>
          <w:rFonts w:asciiTheme="minorHAnsi" w:hAnsiTheme="minorHAnsi" w:cstheme="minorHAnsi"/>
        </w:rPr>
        <w:t xml:space="preserve"> “to demonstrate a parity of response to Muslim communities alienated by the previous iterations of the Prevent strategy.”</w:t>
      </w:r>
      <w:r w:rsidR="009A42A6">
        <w:rPr>
          <w:rStyle w:val="FootnoteReference"/>
          <w:rFonts w:asciiTheme="minorHAnsi" w:hAnsiTheme="minorHAnsi" w:cstheme="minorHAnsi"/>
        </w:rPr>
        <w:footnoteReference w:id="88"/>
      </w:r>
      <w:r w:rsidR="003359ED">
        <w:rPr>
          <w:rFonts w:asciiTheme="minorHAnsi" w:hAnsiTheme="minorHAnsi" w:cstheme="minorHAnsi"/>
        </w:rPr>
        <w:t xml:space="preserve"> This </w:t>
      </w:r>
      <w:r w:rsidR="0052612C">
        <w:rPr>
          <w:rFonts w:asciiTheme="minorHAnsi" w:hAnsiTheme="minorHAnsi" w:cstheme="minorHAnsi"/>
        </w:rPr>
        <w:t xml:space="preserve">is precisely the </w:t>
      </w:r>
      <w:r w:rsidR="003359ED">
        <w:rPr>
          <w:rFonts w:asciiTheme="minorHAnsi" w:hAnsiTheme="minorHAnsi" w:cstheme="minorHAnsi"/>
        </w:rPr>
        <w:t xml:space="preserve">kind of </w:t>
      </w:r>
      <w:r w:rsidR="00B1379B">
        <w:rPr>
          <w:rFonts w:asciiTheme="minorHAnsi" w:hAnsiTheme="minorHAnsi" w:cstheme="minorHAnsi"/>
        </w:rPr>
        <w:t xml:space="preserve">mission creep that </w:t>
      </w:r>
      <w:r w:rsidR="00DC3D08">
        <w:rPr>
          <w:rFonts w:asciiTheme="minorHAnsi" w:hAnsiTheme="minorHAnsi" w:cstheme="minorHAnsi"/>
        </w:rPr>
        <w:t>is predicted by</w:t>
      </w:r>
      <w:r w:rsidR="00AC3434">
        <w:rPr>
          <w:rFonts w:asciiTheme="minorHAnsi" w:hAnsiTheme="minorHAnsi" w:cstheme="minorHAnsi"/>
        </w:rPr>
        <w:t xml:space="preserve"> </w:t>
      </w:r>
      <w:r w:rsidR="008C65A1" w:rsidRPr="008C65A1">
        <w:rPr>
          <w:rFonts w:asciiTheme="minorHAnsi" w:hAnsiTheme="minorHAnsi" w:cstheme="minorHAnsi"/>
        </w:rPr>
        <w:t xml:space="preserve">Jerry </w:t>
      </w:r>
      <w:proofErr w:type="spellStart"/>
      <w:r w:rsidR="008C65A1" w:rsidRPr="008C65A1">
        <w:rPr>
          <w:rFonts w:asciiTheme="minorHAnsi" w:hAnsiTheme="minorHAnsi" w:cstheme="minorHAnsi"/>
        </w:rPr>
        <w:t>Pournelle’s</w:t>
      </w:r>
      <w:proofErr w:type="spellEnd"/>
      <w:r w:rsidR="008C65A1" w:rsidRPr="008C65A1">
        <w:rPr>
          <w:rFonts w:asciiTheme="minorHAnsi" w:hAnsiTheme="minorHAnsi" w:cstheme="minorHAnsi"/>
        </w:rPr>
        <w:t xml:space="preserve"> </w:t>
      </w:r>
      <w:r w:rsidR="008C65A1" w:rsidRPr="008C65A1">
        <w:rPr>
          <w:rFonts w:asciiTheme="minorHAnsi" w:hAnsiTheme="minorHAnsi" w:cstheme="minorHAnsi"/>
          <w:i/>
          <w:iCs/>
        </w:rPr>
        <w:t>Iron Law of Bureaucracy</w:t>
      </w:r>
      <w:r w:rsidR="00DC3D08">
        <w:rPr>
          <w:rFonts w:asciiTheme="minorHAnsi" w:hAnsiTheme="minorHAnsi" w:cstheme="minorHAnsi"/>
          <w:i/>
          <w:iCs/>
        </w:rPr>
        <w:t>.</w:t>
      </w:r>
      <w:r w:rsidR="008C65A1" w:rsidRPr="008C65A1">
        <w:rPr>
          <w:rFonts w:asciiTheme="minorHAnsi" w:hAnsiTheme="minorHAnsi" w:cstheme="minorHAnsi"/>
          <w:i/>
          <w:iCs/>
        </w:rPr>
        <w:t xml:space="preserve"> </w:t>
      </w:r>
      <w:proofErr w:type="spellStart"/>
      <w:r w:rsidR="00DC3D08">
        <w:rPr>
          <w:rFonts w:asciiTheme="minorHAnsi" w:hAnsiTheme="minorHAnsi" w:cstheme="minorHAnsi"/>
        </w:rPr>
        <w:t>Pournelle</w:t>
      </w:r>
      <w:proofErr w:type="spellEnd"/>
      <w:r w:rsidR="00DC3D08">
        <w:rPr>
          <w:rFonts w:asciiTheme="minorHAnsi" w:hAnsiTheme="minorHAnsi" w:cstheme="minorHAnsi"/>
        </w:rPr>
        <w:t xml:space="preserve"> argued </w:t>
      </w:r>
      <w:r w:rsidR="008C65A1" w:rsidRPr="008C65A1">
        <w:rPr>
          <w:rFonts w:asciiTheme="minorHAnsi" w:hAnsiTheme="minorHAnsi" w:cstheme="minorHAnsi"/>
        </w:rPr>
        <w:t>every public sector institution is sooner or later captured and controlled by those who put the need to sustain and protect the institution above the explicit purposes for which it was created</w:t>
      </w:r>
      <w:r w:rsidR="00DC3D08">
        <w:rPr>
          <w:rFonts w:asciiTheme="minorHAnsi" w:hAnsiTheme="minorHAnsi" w:cstheme="minorHAnsi"/>
        </w:rPr>
        <w:t xml:space="preserve">, and </w:t>
      </w:r>
      <w:r w:rsidR="008C65A1" w:rsidRPr="008C65A1">
        <w:rPr>
          <w:rFonts w:asciiTheme="minorHAnsi" w:hAnsiTheme="minorHAnsi" w:cstheme="minorHAnsi"/>
        </w:rPr>
        <w:t xml:space="preserve">pointed to the growth of the Transportation Security Administration (TSA) </w:t>
      </w:r>
      <w:r w:rsidR="00B1379B">
        <w:rPr>
          <w:rFonts w:asciiTheme="minorHAnsi" w:hAnsiTheme="minorHAnsi" w:cstheme="minorHAnsi"/>
        </w:rPr>
        <w:t xml:space="preserve">in the United States </w:t>
      </w:r>
      <w:r w:rsidR="008C65A1" w:rsidRPr="008C65A1">
        <w:rPr>
          <w:rFonts w:asciiTheme="minorHAnsi" w:hAnsiTheme="minorHAnsi" w:cstheme="minorHAnsi"/>
        </w:rPr>
        <w:t>as a</w:t>
      </w:r>
      <w:r w:rsidR="00F40AD8">
        <w:rPr>
          <w:rFonts w:asciiTheme="minorHAnsi" w:hAnsiTheme="minorHAnsi" w:cstheme="minorHAnsi"/>
        </w:rPr>
        <w:t>n</w:t>
      </w:r>
      <w:r w:rsidR="008C65A1" w:rsidRPr="008C65A1">
        <w:rPr>
          <w:rFonts w:asciiTheme="minorHAnsi" w:hAnsiTheme="minorHAnsi" w:cstheme="minorHAnsi"/>
        </w:rPr>
        <w:t xml:space="preserve"> example of his </w:t>
      </w:r>
      <w:r w:rsidR="008C65A1" w:rsidRPr="00F40AD8">
        <w:rPr>
          <w:rFonts w:asciiTheme="minorHAnsi" w:hAnsiTheme="minorHAnsi" w:cstheme="minorHAnsi"/>
          <w:i/>
          <w:iCs/>
        </w:rPr>
        <w:t>Iron Law</w:t>
      </w:r>
      <w:r w:rsidR="008C65A1" w:rsidRPr="008C65A1">
        <w:rPr>
          <w:rFonts w:asciiTheme="minorHAnsi" w:hAnsiTheme="minorHAnsi" w:cstheme="minorHAnsi"/>
        </w:rPr>
        <w:t xml:space="preserve"> in operation</w:t>
      </w:r>
      <w:r w:rsidR="008C65A1">
        <w:rPr>
          <w:rFonts w:asciiTheme="minorHAnsi" w:hAnsiTheme="minorHAnsi" w:cstheme="minorHAnsi"/>
        </w:rPr>
        <w:t>.</w:t>
      </w:r>
      <w:r w:rsidR="00B1379B">
        <w:rPr>
          <w:rStyle w:val="FootnoteReference"/>
          <w:rFonts w:asciiTheme="minorHAnsi" w:hAnsiTheme="minorHAnsi" w:cstheme="minorHAnsi"/>
        </w:rPr>
        <w:footnoteReference w:id="89"/>
      </w:r>
      <w:r w:rsidR="00B1379B">
        <w:rPr>
          <w:rFonts w:asciiTheme="minorHAnsi" w:hAnsiTheme="minorHAnsi" w:cstheme="minorHAnsi"/>
        </w:rPr>
        <w:t xml:space="preserve"> It could be argued that the Prevent strategy has followed a very similar trajectory, being progressively widened in its scope and application, and with additional powers such as the Prevent Duty being bestowed on its administrators.</w:t>
      </w:r>
      <w:r w:rsidR="00F40AD8" w:rsidRPr="00F40AD8">
        <w:rPr>
          <w:rFonts w:asciiTheme="minorHAnsi" w:hAnsiTheme="minorHAnsi" w:cstheme="minorHAnsi"/>
        </w:rPr>
        <w:t xml:space="preserve"> </w:t>
      </w:r>
      <w:r w:rsidR="00F40AD8" w:rsidRPr="00153BD7">
        <w:rPr>
          <w:rFonts w:asciiTheme="minorHAnsi" w:hAnsiTheme="minorHAnsi" w:cstheme="minorHAnsi"/>
        </w:rPr>
        <w:t>The most recent Prevent data from 2020</w:t>
      </w:r>
      <w:r w:rsidR="00F40AD8">
        <w:rPr>
          <w:rFonts w:asciiTheme="minorHAnsi" w:hAnsiTheme="minorHAnsi" w:cstheme="minorHAnsi"/>
        </w:rPr>
        <w:t>-</w:t>
      </w:r>
      <w:r w:rsidR="00F40AD8" w:rsidRPr="00153BD7">
        <w:rPr>
          <w:rFonts w:asciiTheme="minorHAnsi" w:hAnsiTheme="minorHAnsi" w:cstheme="minorHAnsi"/>
        </w:rPr>
        <w:t xml:space="preserve">2021 showed that of a total of 7,000 preliminary referrals over a one year period, 1,680 cases were connected to Islamist extremism and 1,540 due to </w:t>
      </w:r>
      <w:r w:rsidR="00F40AD8">
        <w:rPr>
          <w:rFonts w:asciiTheme="minorHAnsi" w:hAnsiTheme="minorHAnsi" w:cstheme="minorHAnsi"/>
        </w:rPr>
        <w:t xml:space="preserve">Extreme </w:t>
      </w:r>
      <w:r w:rsidR="00F40AD8" w:rsidRPr="00153BD7">
        <w:rPr>
          <w:rFonts w:asciiTheme="minorHAnsi" w:hAnsiTheme="minorHAnsi" w:cstheme="minorHAnsi"/>
        </w:rPr>
        <w:t xml:space="preserve">Right-Wing </w:t>
      </w:r>
      <w:r w:rsidR="00F40AD8">
        <w:rPr>
          <w:rFonts w:asciiTheme="minorHAnsi" w:hAnsiTheme="minorHAnsi" w:cstheme="minorHAnsi"/>
        </w:rPr>
        <w:t>activity</w:t>
      </w:r>
      <w:r w:rsidR="00F40AD8" w:rsidRPr="00153BD7">
        <w:rPr>
          <w:rFonts w:asciiTheme="minorHAnsi" w:hAnsiTheme="minorHAnsi" w:cstheme="minorHAnsi"/>
        </w:rPr>
        <w:t>.</w:t>
      </w:r>
      <w:r w:rsidR="00F40AD8" w:rsidRPr="00153BD7">
        <w:rPr>
          <w:rStyle w:val="FootnoteReference"/>
          <w:rFonts w:asciiTheme="minorHAnsi" w:hAnsiTheme="minorHAnsi" w:cstheme="minorHAnsi"/>
        </w:rPr>
        <w:footnoteReference w:id="90"/>
      </w:r>
      <w:r>
        <w:rPr>
          <w:rFonts w:asciiTheme="minorHAnsi" w:hAnsiTheme="minorHAnsi" w:cstheme="minorHAnsi"/>
        </w:rPr>
        <w:t xml:space="preserve"> It is hard to escape the conclusion </w:t>
      </w:r>
      <w:r w:rsidR="004F5F23">
        <w:rPr>
          <w:rFonts w:asciiTheme="minorHAnsi" w:hAnsiTheme="minorHAnsi" w:cstheme="minorHAnsi"/>
        </w:rPr>
        <w:t xml:space="preserve">that </w:t>
      </w:r>
      <w:r>
        <w:rPr>
          <w:rFonts w:asciiTheme="minorHAnsi" w:hAnsiTheme="minorHAnsi" w:cstheme="minorHAnsi"/>
        </w:rPr>
        <w:t xml:space="preserve">this number of referrals is greatly out of proportion to the XRW threat that has actually </w:t>
      </w:r>
      <w:r w:rsidR="00462CE8">
        <w:rPr>
          <w:rFonts w:asciiTheme="minorHAnsi" w:hAnsiTheme="minorHAnsi" w:cstheme="minorHAnsi"/>
        </w:rPr>
        <w:t>materialized</w:t>
      </w:r>
      <w:r w:rsidR="002A4F05">
        <w:rPr>
          <w:rFonts w:asciiTheme="minorHAnsi" w:hAnsiTheme="minorHAnsi" w:cstheme="minorHAnsi"/>
        </w:rPr>
        <w:t xml:space="preserve"> to date</w:t>
      </w:r>
      <w:r w:rsidR="00E62046">
        <w:rPr>
          <w:rFonts w:asciiTheme="minorHAnsi" w:hAnsiTheme="minorHAnsi" w:cstheme="minorHAnsi"/>
        </w:rPr>
        <w:t xml:space="preserve">, and that perhaps confirmation bias </w:t>
      </w:r>
      <w:r w:rsidR="00817217">
        <w:rPr>
          <w:rFonts w:asciiTheme="minorHAnsi" w:hAnsiTheme="minorHAnsi" w:cstheme="minorHAnsi"/>
        </w:rPr>
        <w:t xml:space="preserve">within the Prevent </w:t>
      </w:r>
      <w:proofErr w:type="spellStart"/>
      <w:r w:rsidR="00817217">
        <w:rPr>
          <w:rFonts w:asciiTheme="minorHAnsi" w:hAnsiTheme="minorHAnsi" w:cstheme="minorHAnsi"/>
        </w:rPr>
        <w:t>programme</w:t>
      </w:r>
      <w:proofErr w:type="spellEnd"/>
      <w:r w:rsidR="00817217">
        <w:rPr>
          <w:rFonts w:asciiTheme="minorHAnsi" w:hAnsiTheme="minorHAnsi" w:cstheme="minorHAnsi"/>
        </w:rPr>
        <w:t xml:space="preserve"> </w:t>
      </w:r>
      <w:r w:rsidR="00E62046">
        <w:rPr>
          <w:rFonts w:asciiTheme="minorHAnsi" w:hAnsiTheme="minorHAnsi" w:cstheme="minorHAnsi"/>
        </w:rPr>
        <w:t>may be playing an outsize role in the identification of these referral subjects</w:t>
      </w:r>
      <w:r>
        <w:rPr>
          <w:rFonts w:asciiTheme="minorHAnsi" w:hAnsiTheme="minorHAnsi" w:cstheme="minorHAnsi"/>
        </w:rPr>
        <w:t>.</w:t>
      </w:r>
      <w:r w:rsidR="004B624C">
        <w:rPr>
          <w:rFonts w:asciiTheme="minorHAnsi" w:hAnsiTheme="minorHAnsi" w:cstheme="minorHAnsi"/>
        </w:rPr>
        <w:t xml:space="preserve"> </w:t>
      </w:r>
    </w:p>
    <w:p w14:paraId="4A848201" w14:textId="587C4464" w:rsidR="004F5F23" w:rsidRDefault="004F5F23" w:rsidP="00FA3651">
      <w:pPr>
        <w:jc w:val="both"/>
        <w:rPr>
          <w:rFonts w:asciiTheme="minorHAnsi" w:hAnsiTheme="minorHAnsi" w:cstheme="minorHAnsi"/>
        </w:rPr>
      </w:pPr>
    </w:p>
    <w:p w14:paraId="32589CFA" w14:textId="734300AB" w:rsidR="004F5F23" w:rsidRDefault="00D4396F" w:rsidP="00FA3651">
      <w:pPr>
        <w:jc w:val="both"/>
        <w:rPr>
          <w:rFonts w:asciiTheme="minorHAnsi" w:hAnsiTheme="minorHAnsi" w:cstheme="minorHAnsi"/>
        </w:rPr>
      </w:pPr>
      <w:r>
        <w:rPr>
          <w:rFonts w:asciiTheme="minorHAnsi" w:hAnsiTheme="minorHAnsi" w:cstheme="minorHAnsi"/>
        </w:rPr>
        <w:t>It is also</w:t>
      </w:r>
      <w:r w:rsidR="004F5F23">
        <w:rPr>
          <w:rFonts w:asciiTheme="minorHAnsi" w:hAnsiTheme="minorHAnsi" w:cstheme="minorHAnsi"/>
        </w:rPr>
        <w:t xml:space="preserve"> </w:t>
      </w:r>
      <w:r>
        <w:rPr>
          <w:rFonts w:asciiTheme="minorHAnsi" w:hAnsiTheme="minorHAnsi" w:cstheme="minorHAnsi"/>
        </w:rPr>
        <w:t>worth noting</w:t>
      </w:r>
      <w:r w:rsidR="004F5F23">
        <w:rPr>
          <w:rFonts w:asciiTheme="minorHAnsi" w:hAnsiTheme="minorHAnsi" w:cstheme="minorHAnsi"/>
        </w:rPr>
        <w:t xml:space="preserve"> that there has been no attempt on the part of British government officials to extend the Prevent </w:t>
      </w:r>
      <w:proofErr w:type="spellStart"/>
      <w:r w:rsidR="004F5F23">
        <w:rPr>
          <w:rFonts w:asciiTheme="minorHAnsi" w:hAnsiTheme="minorHAnsi" w:cstheme="minorHAnsi"/>
        </w:rPr>
        <w:t>programme</w:t>
      </w:r>
      <w:proofErr w:type="spellEnd"/>
      <w:r w:rsidR="004F5F23">
        <w:rPr>
          <w:rFonts w:asciiTheme="minorHAnsi" w:hAnsiTheme="minorHAnsi" w:cstheme="minorHAnsi"/>
        </w:rPr>
        <w:t xml:space="preserve"> to Northern Ireland as a potential tool to tackle extreme republican or loyalist activity.  The Troubles in Northern Ireland </w:t>
      </w:r>
      <w:r w:rsidR="009444B1">
        <w:rPr>
          <w:rFonts w:asciiTheme="minorHAnsi" w:hAnsiTheme="minorHAnsi" w:cstheme="minorHAnsi"/>
        </w:rPr>
        <w:t xml:space="preserve">claimed more than </w:t>
      </w:r>
      <w:r w:rsidR="004E53AC">
        <w:rPr>
          <w:rFonts w:asciiTheme="minorHAnsi" w:hAnsiTheme="minorHAnsi" w:cstheme="minorHAnsi"/>
        </w:rPr>
        <w:t>3,500</w:t>
      </w:r>
      <w:r w:rsidR="009444B1">
        <w:rPr>
          <w:rFonts w:asciiTheme="minorHAnsi" w:hAnsiTheme="minorHAnsi" w:cstheme="minorHAnsi"/>
        </w:rPr>
        <w:t xml:space="preserve"> lives </w:t>
      </w:r>
      <w:r w:rsidR="004E53AC">
        <w:rPr>
          <w:rFonts w:asciiTheme="minorHAnsi" w:hAnsiTheme="minorHAnsi" w:cstheme="minorHAnsi"/>
        </w:rPr>
        <w:t xml:space="preserve">between 1969 and 1998 </w:t>
      </w:r>
      <w:r w:rsidR="009444B1">
        <w:rPr>
          <w:rFonts w:asciiTheme="minorHAnsi" w:hAnsiTheme="minorHAnsi" w:cstheme="minorHAnsi"/>
        </w:rPr>
        <w:t xml:space="preserve">and, while the Peace Process continues to </w:t>
      </w:r>
      <w:r w:rsidR="001739A4">
        <w:rPr>
          <w:rFonts w:asciiTheme="minorHAnsi" w:hAnsiTheme="minorHAnsi" w:cstheme="minorHAnsi"/>
        </w:rPr>
        <w:t>endure</w:t>
      </w:r>
      <w:r w:rsidR="009444B1">
        <w:rPr>
          <w:rFonts w:asciiTheme="minorHAnsi" w:hAnsiTheme="minorHAnsi" w:cstheme="minorHAnsi"/>
        </w:rPr>
        <w:t xml:space="preserve"> almost twenty-five years since the conclusion of the Good Friday Agreement, tensions</w:t>
      </w:r>
      <w:r w:rsidR="00424663">
        <w:rPr>
          <w:rFonts w:asciiTheme="minorHAnsi" w:hAnsiTheme="minorHAnsi" w:cstheme="minorHAnsi"/>
        </w:rPr>
        <w:t xml:space="preserve"> have grown over the past decade and there has been a reemergence of a low-level threat of terrorist violence, with the clear potential to worsen. If Prevent </w:t>
      </w:r>
      <w:r w:rsidR="00712D61">
        <w:rPr>
          <w:rFonts w:asciiTheme="minorHAnsi" w:hAnsiTheme="minorHAnsi" w:cstheme="minorHAnsi"/>
        </w:rPr>
        <w:t>is</w:t>
      </w:r>
      <w:r w:rsidR="00424663">
        <w:rPr>
          <w:rFonts w:asciiTheme="minorHAnsi" w:hAnsiTheme="minorHAnsi" w:cstheme="minorHAnsi"/>
        </w:rPr>
        <w:t xml:space="preserve"> a </w:t>
      </w:r>
      <w:r w:rsidR="00712D61">
        <w:rPr>
          <w:rFonts w:asciiTheme="minorHAnsi" w:hAnsiTheme="minorHAnsi" w:cstheme="minorHAnsi"/>
        </w:rPr>
        <w:t>reliable</w:t>
      </w:r>
      <w:r w:rsidR="00424663">
        <w:rPr>
          <w:rFonts w:asciiTheme="minorHAnsi" w:hAnsiTheme="minorHAnsi" w:cstheme="minorHAnsi"/>
        </w:rPr>
        <w:t xml:space="preserve"> tool</w:t>
      </w:r>
      <w:r w:rsidR="00712D61">
        <w:rPr>
          <w:rFonts w:asciiTheme="minorHAnsi" w:hAnsiTheme="minorHAnsi" w:cstheme="minorHAnsi"/>
        </w:rPr>
        <w:t xml:space="preserve"> for deescalating extremist violence </w:t>
      </w:r>
      <w:r w:rsidR="0000108D">
        <w:rPr>
          <w:rFonts w:asciiTheme="minorHAnsi" w:hAnsiTheme="minorHAnsi" w:cstheme="minorHAnsi"/>
        </w:rPr>
        <w:t>there</w:t>
      </w:r>
      <w:r w:rsidR="00712D61">
        <w:rPr>
          <w:rFonts w:asciiTheme="minorHAnsi" w:hAnsiTheme="minorHAnsi" w:cstheme="minorHAnsi"/>
        </w:rPr>
        <w:t xml:space="preserve"> would seem to be an obvious argument for its application in Northern Ireland</w:t>
      </w:r>
      <w:r w:rsidR="0000108D">
        <w:rPr>
          <w:rFonts w:asciiTheme="minorHAnsi" w:hAnsiTheme="minorHAnsi" w:cstheme="minorHAnsi"/>
        </w:rPr>
        <w:t>,</w:t>
      </w:r>
      <w:r w:rsidR="00712D61">
        <w:rPr>
          <w:rFonts w:asciiTheme="minorHAnsi" w:hAnsiTheme="minorHAnsi" w:cstheme="minorHAnsi"/>
        </w:rPr>
        <w:t xml:space="preserve"> but it is not an argument anyone in authority </w:t>
      </w:r>
      <w:r w:rsidR="000D58C7">
        <w:rPr>
          <w:rFonts w:asciiTheme="minorHAnsi" w:hAnsiTheme="minorHAnsi" w:cstheme="minorHAnsi"/>
        </w:rPr>
        <w:t>has seen fit to make</w:t>
      </w:r>
      <w:r w:rsidR="00712D61">
        <w:rPr>
          <w:rFonts w:asciiTheme="minorHAnsi" w:hAnsiTheme="minorHAnsi" w:cstheme="minorHAnsi"/>
        </w:rPr>
        <w:t xml:space="preserve">. </w:t>
      </w:r>
      <w:r w:rsidR="00D634C5">
        <w:rPr>
          <w:rFonts w:asciiTheme="minorHAnsi" w:hAnsiTheme="minorHAnsi" w:cstheme="minorHAnsi"/>
        </w:rPr>
        <w:t xml:space="preserve">It is </w:t>
      </w:r>
      <w:r w:rsidR="004E53AC">
        <w:rPr>
          <w:rFonts w:asciiTheme="minorHAnsi" w:hAnsiTheme="minorHAnsi" w:cstheme="minorHAnsi"/>
        </w:rPr>
        <w:t>perhaps instructive to ask</w:t>
      </w:r>
      <w:r w:rsidR="00D634C5">
        <w:rPr>
          <w:rFonts w:asciiTheme="minorHAnsi" w:hAnsiTheme="minorHAnsi" w:cstheme="minorHAnsi"/>
        </w:rPr>
        <w:t xml:space="preserve"> why. One possible answer is that there is a tacit recognition that historical injustice and social marginalization are </w:t>
      </w:r>
      <w:r w:rsidR="009F2AC1">
        <w:rPr>
          <w:rFonts w:asciiTheme="minorHAnsi" w:hAnsiTheme="minorHAnsi" w:cstheme="minorHAnsi"/>
        </w:rPr>
        <w:t>indisputably part of the Catholic experience in Northern Ireland</w:t>
      </w:r>
      <w:r w:rsidR="00C41709">
        <w:rPr>
          <w:rFonts w:asciiTheme="minorHAnsi" w:hAnsiTheme="minorHAnsi" w:cstheme="minorHAnsi"/>
        </w:rPr>
        <w:t>,</w:t>
      </w:r>
      <w:r w:rsidR="009F2AC1">
        <w:rPr>
          <w:rFonts w:asciiTheme="minorHAnsi" w:hAnsiTheme="minorHAnsi" w:cstheme="minorHAnsi"/>
        </w:rPr>
        <w:t xml:space="preserve"> and as such are understood to be the </w:t>
      </w:r>
      <w:r w:rsidR="002A4F05">
        <w:rPr>
          <w:rFonts w:asciiTheme="minorHAnsi" w:hAnsiTheme="minorHAnsi" w:cstheme="minorHAnsi"/>
        </w:rPr>
        <w:t xml:space="preserve">primary </w:t>
      </w:r>
      <w:r w:rsidR="00D634C5">
        <w:rPr>
          <w:rFonts w:asciiTheme="minorHAnsi" w:hAnsiTheme="minorHAnsi" w:cstheme="minorHAnsi"/>
        </w:rPr>
        <w:t>drivers of violence in the Province</w:t>
      </w:r>
      <w:r w:rsidR="009F2AC1">
        <w:rPr>
          <w:rFonts w:asciiTheme="minorHAnsi" w:hAnsiTheme="minorHAnsi" w:cstheme="minorHAnsi"/>
        </w:rPr>
        <w:t xml:space="preserve">. As a result, </w:t>
      </w:r>
      <w:r w:rsidR="00D634C5">
        <w:rPr>
          <w:rFonts w:asciiTheme="minorHAnsi" w:hAnsiTheme="minorHAnsi" w:cstheme="minorHAnsi"/>
        </w:rPr>
        <w:t xml:space="preserve">less emphasis is </w:t>
      </w:r>
      <w:r w:rsidR="00C41709">
        <w:rPr>
          <w:rFonts w:asciiTheme="minorHAnsi" w:hAnsiTheme="minorHAnsi" w:cstheme="minorHAnsi"/>
        </w:rPr>
        <w:t xml:space="preserve">intuitively </w:t>
      </w:r>
      <w:r w:rsidR="00D634C5">
        <w:rPr>
          <w:rFonts w:asciiTheme="minorHAnsi" w:hAnsiTheme="minorHAnsi" w:cstheme="minorHAnsi"/>
        </w:rPr>
        <w:t>placed on personal vulnerabilities to recruitment</w:t>
      </w:r>
      <w:r w:rsidR="009F2AC1">
        <w:rPr>
          <w:rFonts w:asciiTheme="minorHAnsi" w:hAnsiTheme="minorHAnsi" w:cstheme="minorHAnsi"/>
        </w:rPr>
        <w:t xml:space="preserve"> since Catholic </w:t>
      </w:r>
      <w:r w:rsidR="00C41709">
        <w:rPr>
          <w:rFonts w:asciiTheme="minorHAnsi" w:hAnsiTheme="minorHAnsi" w:cstheme="minorHAnsi"/>
        </w:rPr>
        <w:t>antipathy</w:t>
      </w:r>
      <w:r w:rsidR="009F2AC1">
        <w:rPr>
          <w:rFonts w:asciiTheme="minorHAnsi" w:hAnsiTheme="minorHAnsi" w:cstheme="minorHAnsi"/>
        </w:rPr>
        <w:t xml:space="preserve"> to the British state </w:t>
      </w:r>
      <w:r w:rsidR="00C41709">
        <w:rPr>
          <w:rFonts w:asciiTheme="minorHAnsi" w:hAnsiTheme="minorHAnsi" w:cstheme="minorHAnsi"/>
        </w:rPr>
        <w:t xml:space="preserve">is </w:t>
      </w:r>
      <w:r w:rsidR="005B6EC4">
        <w:rPr>
          <w:rFonts w:asciiTheme="minorHAnsi" w:hAnsiTheme="minorHAnsi" w:cstheme="minorHAnsi"/>
        </w:rPr>
        <w:t>not uncommon</w:t>
      </w:r>
      <w:r w:rsidR="00C41709">
        <w:rPr>
          <w:rFonts w:asciiTheme="minorHAnsi" w:hAnsiTheme="minorHAnsi" w:cstheme="minorHAnsi"/>
        </w:rPr>
        <w:t xml:space="preserve"> and to a certain extent normalized. </w:t>
      </w:r>
      <w:r w:rsidR="00D634C5">
        <w:rPr>
          <w:rFonts w:asciiTheme="minorHAnsi" w:hAnsiTheme="minorHAnsi" w:cstheme="minorHAnsi"/>
        </w:rPr>
        <w:t>Another</w:t>
      </w:r>
      <w:r w:rsidR="001834BA">
        <w:rPr>
          <w:rFonts w:asciiTheme="minorHAnsi" w:hAnsiTheme="minorHAnsi" w:cstheme="minorHAnsi"/>
        </w:rPr>
        <w:t xml:space="preserve"> potential explanation</w:t>
      </w:r>
      <w:r w:rsidR="00D634C5">
        <w:rPr>
          <w:rFonts w:asciiTheme="minorHAnsi" w:hAnsiTheme="minorHAnsi" w:cstheme="minorHAnsi"/>
        </w:rPr>
        <w:t>, perhaps more relevant to the American context</w:t>
      </w:r>
      <w:r w:rsidR="001834BA">
        <w:rPr>
          <w:rFonts w:asciiTheme="minorHAnsi" w:hAnsiTheme="minorHAnsi" w:cstheme="minorHAnsi"/>
        </w:rPr>
        <w:t>,</w:t>
      </w:r>
      <w:r w:rsidR="00D634C5">
        <w:rPr>
          <w:rFonts w:asciiTheme="minorHAnsi" w:hAnsiTheme="minorHAnsi" w:cstheme="minorHAnsi"/>
        </w:rPr>
        <w:t xml:space="preserve"> is that in the</w:t>
      </w:r>
      <w:r w:rsidR="00712D61">
        <w:rPr>
          <w:rFonts w:asciiTheme="minorHAnsi" w:hAnsiTheme="minorHAnsi" w:cstheme="minorHAnsi"/>
        </w:rPr>
        <w:t xml:space="preserve"> highly polarized </w:t>
      </w:r>
      <w:r w:rsidR="00D634C5">
        <w:rPr>
          <w:rFonts w:asciiTheme="minorHAnsi" w:hAnsiTheme="minorHAnsi" w:cstheme="minorHAnsi"/>
        </w:rPr>
        <w:t xml:space="preserve">context of </w:t>
      </w:r>
      <w:r w:rsidR="001834BA">
        <w:rPr>
          <w:rFonts w:asciiTheme="minorHAnsi" w:hAnsiTheme="minorHAnsi" w:cstheme="minorHAnsi"/>
        </w:rPr>
        <w:t xml:space="preserve">the </w:t>
      </w:r>
      <w:r w:rsidR="00D634C5">
        <w:rPr>
          <w:rFonts w:asciiTheme="minorHAnsi" w:hAnsiTheme="minorHAnsi" w:cstheme="minorHAnsi"/>
        </w:rPr>
        <w:t xml:space="preserve">Northern Irish </w:t>
      </w:r>
      <w:r w:rsidR="001834BA">
        <w:rPr>
          <w:rFonts w:asciiTheme="minorHAnsi" w:hAnsiTheme="minorHAnsi" w:cstheme="minorHAnsi"/>
        </w:rPr>
        <w:t>Assembly</w:t>
      </w:r>
      <w:r w:rsidR="00D634C5">
        <w:rPr>
          <w:rFonts w:asciiTheme="minorHAnsi" w:hAnsiTheme="minorHAnsi" w:cstheme="minorHAnsi"/>
        </w:rPr>
        <w:t xml:space="preserve"> - </w:t>
      </w:r>
      <w:r w:rsidR="00712D61">
        <w:rPr>
          <w:rFonts w:asciiTheme="minorHAnsi" w:hAnsiTheme="minorHAnsi" w:cstheme="minorHAnsi"/>
        </w:rPr>
        <w:t xml:space="preserve">dominated by two </w:t>
      </w:r>
      <w:r w:rsidR="00D634C5">
        <w:rPr>
          <w:rFonts w:asciiTheme="minorHAnsi" w:hAnsiTheme="minorHAnsi" w:cstheme="minorHAnsi"/>
        </w:rPr>
        <w:t xml:space="preserve">implacably opposed </w:t>
      </w:r>
      <w:r w:rsidR="00712D61">
        <w:rPr>
          <w:rFonts w:asciiTheme="minorHAnsi" w:hAnsiTheme="minorHAnsi" w:cstheme="minorHAnsi"/>
        </w:rPr>
        <w:t xml:space="preserve">political parties, </w:t>
      </w:r>
      <w:r w:rsidR="00712D61" w:rsidRPr="000E0436">
        <w:rPr>
          <w:rFonts w:asciiTheme="minorHAnsi" w:hAnsiTheme="minorHAnsi" w:cstheme="minorHAnsi"/>
          <w:i/>
          <w:iCs/>
        </w:rPr>
        <w:t>Sinn F</w:t>
      </w:r>
      <w:r w:rsidR="00712D61" w:rsidRPr="000E0436">
        <w:rPr>
          <w:rFonts w:ascii="Calibri" w:hAnsi="Calibri" w:cs="Calibri"/>
          <w:i/>
          <w:iCs/>
        </w:rPr>
        <w:t>é</w:t>
      </w:r>
      <w:r w:rsidR="00712D61" w:rsidRPr="000E0436">
        <w:rPr>
          <w:rFonts w:asciiTheme="minorHAnsi" w:hAnsiTheme="minorHAnsi" w:cstheme="minorHAnsi"/>
          <w:i/>
          <w:iCs/>
        </w:rPr>
        <w:t>in</w:t>
      </w:r>
      <w:r w:rsidR="00712D61">
        <w:rPr>
          <w:rFonts w:asciiTheme="minorHAnsi" w:hAnsiTheme="minorHAnsi" w:cstheme="minorHAnsi"/>
        </w:rPr>
        <w:t xml:space="preserve"> and</w:t>
      </w:r>
      <w:r w:rsidR="00DB035C">
        <w:rPr>
          <w:rFonts w:asciiTheme="minorHAnsi" w:hAnsiTheme="minorHAnsi" w:cstheme="minorHAnsi"/>
        </w:rPr>
        <w:t xml:space="preserve"> Democratic Unionist Party, both formerly closely associated with sectarian paramilitary groups</w:t>
      </w:r>
      <w:r w:rsidR="001834BA">
        <w:rPr>
          <w:rFonts w:asciiTheme="minorHAnsi" w:hAnsiTheme="minorHAnsi" w:cstheme="minorHAnsi"/>
        </w:rPr>
        <w:t xml:space="preserve"> - extremism is already so </w:t>
      </w:r>
      <w:r w:rsidR="001834BA">
        <w:rPr>
          <w:rFonts w:asciiTheme="minorHAnsi" w:hAnsiTheme="minorHAnsi" w:cstheme="minorHAnsi"/>
        </w:rPr>
        <w:lastRenderedPageBreak/>
        <w:t>closely entwined in quotidian political life that the Prevent strategy</w:t>
      </w:r>
      <w:r>
        <w:rPr>
          <w:rFonts w:asciiTheme="minorHAnsi" w:hAnsiTheme="minorHAnsi" w:cstheme="minorHAnsi"/>
        </w:rPr>
        <w:t xml:space="preserve">, which has so comprehensively </w:t>
      </w:r>
      <w:r w:rsidR="00DA5387">
        <w:rPr>
          <w:rFonts w:asciiTheme="minorHAnsi" w:hAnsiTheme="minorHAnsi" w:cstheme="minorHAnsi"/>
        </w:rPr>
        <w:t xml:space="preserve">and unhelpfully </w:t>
      </w:r>
      <w:r>
        <w:rPr>
          <w:rFonts w:asciiTheme="minorHAnsi" w:hAnsiTheme="minorHAnsi" w:cstheme="minorHAnsi"/>
        </w:rPr>
        <w:t>blurred the line between extremism and terrorism,</w:t>
      </w:r>
      <w:r w:rsidR="000D58C7">
        <w:rPr>
          <w:rFonts w:asciiTheme="minorHAnsi" w:hAnsiTheme="minorHAnsi" w:cstheme="minorHAnsi"/>
        </w:rPr>
        <w:t xml:space="preserve"> is simply too blunt an instrument</w:t>
      </w:r>
      <w:r w:rsidR="001834BA">
        <w:rPr>
          <w:rFonts w:asciiTheme="minorHAnsi" w:hAnsiTheme="minorHAnsi" w:cstheme="minorHAnsi"/>
        </w:rPr>
        <w:t xml:space="preserve"> to be useful</w:t>
      </w:r>
      <w:r w:rsidR="000D58C7">
        <w:rPr>
          <w:rFonts w:asciiTheme="minorHAnsi" w:hAnsiTheme="minorHAnsi" w:cstheme="minorHAnsi"/>
        </w:rPr>
        <w:t xml:space="preserve">. </w:t>
      </w:r>
    </w:p>
    <w:p w14:paraId="7E5F4ED2" w14:textId="62F73D7D" w:rsidR="008C65A1" w:rsidRPr="006503BA" w:rsidRDefault="008C65A1" w:rsidP="008C65A1">
      <w:pPr>
        <w:jc w:val="both"/>
        <w:rPr>
          <w:rFonts w:asciiTheme="minorHAnsi" w:hAnsiTheme="minorHAnsi" w:cstheme="minorHAnsi"/>
        </w:rPr>
      </w:pPr>
    </w:p>
    <w:p w14:paraId="611D16B9" w14:textId="4AFA79C8" w:rsidR="005E28FB" w:rsidRPr="00596C93" w:rsidRDefault="003D7170" w:rsidP="00F40AD8">
      <w:pPr>
        <w:pStyle w:val="NoSpacing"/>
        <w:jc w:val="both"/>
        <w:rPr>
          <w:rFonts w:asciiTheme="minorHAnsi" w:hAnsiTheme="minorHAnsi" w:cstheme="minorHAnsi"/>
          <w:i/>
          <w:iCs/>
          <w:color w:val="0B0C0C"/>
        </w:rPr>
      </w:pPr>
      <w:r w:rsidRPr="00596C93">
        <w:rPr>
          <w:rFonts w:asciiTheme="minorHAnsi" w:hAnsiTheme="minorHAnsi" w:cstheme="minorHAnsi"/>
          <w:i/>
          <w:iCs/>
          <w:color w:val="0B0C0C"/>
        </w:rPr>
        <w:t>Conclusion</w:t>
      </w:r>
    </w:p>
    <w:p w14:paraId="2C6A3CB2" w14:textId="77777777" w:rsidR="0044613C" w:rsidRPr="006503BA" w:rsidRDefault="0044613C" w:rsidP="008C65A1">
      <w:pPr>
        <w:jc w:val="both"/>
        <w:rPr>
          <w:rFonts w:asciiTheme="minorHAnsi" w:hAnsiTheme="minorHAnsi" w:cstheme="minorHAnsi"/>
          <w:bdr w:val="none" w:sz="0" w:space="0" w:color="auto" w:frame="1"/>
        </w:rPr>
      </w:pPr>
    </w:p>
    <w:p w14:paraId="70C5A0C4" w14:textId="391BC40D" w:rsidR="0093233C" w:rsidRDefault="003D7170" w:rsidP="0093233C">
      <w:pPr>
        <w:jc w:val="both"/>
        <w:rPr>
          <w:rFonts w:asciiTheme="minorHAnsi" w:hAnsiTheme="minorHAnsi" w:cstheme="minorHAnsi"/>
        </w:rPr>
      </w:pPr>
      <w:r>
        <w:rPr>
          <w:rFonts w:asciiTheme="minorHAnsi" w:hAnsiTheme="minorHAnsi" w:cstheme="minorHAnsi"/>
          <w:bdr w:val="none" w:sz="0" w:space="0" w:color="auto" w:frame="1"/>
        </w:rPr>
        <w:t xml:space="preserve">It is incredibly </w:t>
      </w:r>
      <w:r w:rsidR="00BD0F32">
        <w:rPr>
          <w:rFonts w:asciiTheme="minorHAnsi" w:hAnsiTheme="minorHAnsi" w:cstheme="minorHAnsi"/>
          <w:bdr w:val="none" w:sz="0" w:space="0" w:color="auto" w:frame="1"/>
        </w:rPr>
        <w:t>challenging</w:t>
      </w:r>
      <w:r>
        <w:rPr>
          <w:rFonts w:asciiTheme="minorHAnsi" w:hAnsiTheme="minorHAnsi" w:cstheme="minorHAnsi"/>
          <w:bdr w:val="none" w:sz="0" w:space="0" w:color="auto" w:frame="1"/>
        </w:rPr>
        <w:t xml:space="preserve"> to assess</w:t>
      </w:r>
      <w:r w:rsidR="00BD0F32">
        <w:rPr>
          <w:rFonts w:asciiTheme="minorHAnsi" w:hAnsiTheme="minorHAnsi" w:cstheme="minorHAnsi"/>
          <w:bdr w:val="none" w:sz="0" w:space="0" w:color="auto" w:frame="1"/>
        </w:rPr>
        <w:t xml:space="preserve"> with confidence</w:t>
      </w:r>
      <w:r>
        <w:rPr>
          <w:rFonts w:asciiTheme="minorHAnsi" w:hAnsiTheme="minorHAnsi" w:cstheme="minorHAnsi"/>
          <w:bdr w:val="none" w:sz="0" w:space="0" w:color="auto" w:frame="1"/>
        </w:rPr>
        <w:t xml:space="preserve"> the positive impact of PVE </w:t>
      </w:r>
      <w:proofErr w:type="spellStart"/>
      <w:r>
        <w:rPr>
          <w:rFonts w:asciiTheme="minorHAnsi" w:hAnsiTheme="minorHAnsi" w:cstheme="minorHAnsi"/>
          <w:bdr w:val="none" w:sz="0" w:space="0" w:color="auto" w:frame="1"/>
        </w:rPr>
        <w:t>programmes</w:t>
      </w:r>
      <w:proofErr w:type="spellEnd"/>
      <w:r w:rsidR="00BD0F32">
        <w:rPr>
          <w:rFonts w:asciiTheme="minorHAnsi" w:hAnsiTheme="minorHAnsi" w:cstheme="minorHAnsi"/>
          <w:bdr w:val="none" w:sz="0" w:space="0" w:color="auto" w:frame="1"/>
        </w:rPr>
        <w:t>, reliable data is both hard to come by and hard to quantify</w:t>
      </w:r>
      <w:r>
        <w:rPr>
          <w:rFonts w:asciiTheme="minorHAnsi" w:hAnsiTheme="minorHAnsi" w:cstheme="minorHAnsi"/>
          <w:bdr w:val="none" w:sz="0" w:space="0" w:color="auto" w:frame="1"/>
        </w:rPr>
        <w:t xml:space="preserve">. </w:t>
      </w:r>
      <w:r w:rsidR="00C8305A">
        <w:rPr>
          <w:rFonts w:asciiTheme="minorHAnsi" w:hAnsiTheme="minorHAnsi" w:cstheme="minorHAnsi"/>
          <w:bdr w:val="none" w:sz="0" w:space="0" w:color="auto" w:frame="1"/>
        </w:rPr>
        <w:t xml:space="preserve">This is as true of the British Prevent </w:t>
      </w:r>
      <w:proofErr w:type="spellStart"/>
      <w:r w:rsidR="00C8305A">
        <w:rPr>
          <w:rFonts w:asciiTheme="minorHAnsi" w:hAnsiTheme="minorHAnsi" w:cstheme="minorHAnsi"/>
          <w:bdr w:val="none" w:sz="0" w:space="0" w:color="auto" w:frame="1"/>
        </w:rPr>
        <w:t>programme</w:t>
      </w:r>
      <w:proofErr w:type="spellEnd"/>
      <w:r w:rsidR="00C8305A">
        <w:rPr>
          <w:rFonts w:asciiTheme="minorHAnsi" w:hAnsiTheme="minorHAnsi" w:cstheme="minorHAnsi"/>
          <w:bdr w:val="none" w:sz="0" w:space="0" w:color="auto" w:frame="1"/>
        </w:rPr>
        <w:t xml:space="preserve"> as of any other. </w:t>
      </w:r>
      <w:r w:rsidR="00BD0F32">
        <w:rPr>
          <w:rFonts w:asciiTheme="minorHAnsi" w:hAnsiTheme="minorHAnsi" w:cstheme="minorHAnsi"/>
          <w:bdr w:val="none" w:sz="0" w:space="0" w:color="auto" w:frame="1"/>
        </w:rPr>
        <w:t>Indeed, a</w:t>
      </w:r>
      <w:r w:rsidR="0093233C">
        <w:rPr>
          <w:rFonts w:asciiTheme="minorHAnsi" w:hAnsiTheme="minorHAnsi" w:cstheme="minorHAnsi"/>
          <w:bdr w:val="none" w:sz="0" w:space="0" w:color="auto" w:frame="1"/>
        </w:rPr>
        <w:t>s the former Canadian Security and Intelligence Service (CSIS) officer Phil Gurski has observed: “</w:t>
      </w:r>
      <w:r w:rsidR="0093233C" w:rsidRPr="0093233C">
        <w:rPr>
          <w:rFonts w:asciiTheme="minorHAnsi" w:hAnsiTheme="minorHAnsi" w:cstheme="minorHAnsi"/>
        </w:rPr>
        <w:t>This is, in many ways, an unfair question and akin to asking a doctor how many cancers were prevented by good living habits. In short, we don’t know.</w:t>
      </w:r>
      <w:r w:rsidR="0093233C">
        <w:rPr>
          <w:rFonts w:asciiTheme="minorHAnsi" w:hAnsiTheme="minorHAnsi" w:cstheme="minorHAnsi"/>
        </w:rPr>
        <w:t>”</w:t>
      </w:r>
      <w:r w:rsidR="008C13DD">
        <w:rPr>
          <w:rStyle w:val="FootnoteReference"/>
          <w:rFonts w:asciiTheme="minorHAnsi" w:hAnsiTheme="minorHAnsi" w:cstheme="minorHAnsi"/>
        </w:rPr>
        <w:footnoteReference w:id="91"/>
      </w:r>
      <w:r w:rsidR="00BD0F32">
        <w:rPr>
          <w:rFonts w:asciiTheme="minorHAnsi" w:hAnsiTheme="minorHAnsi" w:cstheme="minorHAnsi"/>
        </w:rPr>
        <w:t xml:space="preserve"> Many PVE </w:t>
      </w:r>
      <w:proofErr w:type="spellStart"/>
      <w:r w:rsidR="00BD0F32">
        <w:rPr>
          <w:rFonts w:asciiTheme="minorHAnsi" w:hAnsiTheme="minorHAnsi" w:cstheme="minorHAnsi"/>
        </w:rPr>
        <w:t>programmes</w:t>
      </w:r>
      <w:proofErr w:type="spellEnd"/>
      <w:r w:rsidR="00BD0F32">
        <w:rPr>
          <w:rFonts w:asciiTheme="minorHAnsi" w:hAnsiTheme="minorHAnsi" w:cstheme="minorHAnsi"/>
        </w:rPr>
        <w:t xml:space="preserve"> – such as those aimed at improving the life skills of young people, providing counselling and mentorship, </w:t>
      </w:r>
      <w:r w:rsidR="00462CE8">
        <w:rPr>
          <w:rFonts w:asciiTheme="minorHAnsi" w:hAnsiTheme="minorHAnsi" w:cstheme="minorHAnsi"/>
        </w:rPr>
        <w:t xml:space="preserve">promoting critical thinking, </w:t>
      </w:r>
      <w:r w:rsidR="00BD0F32">
        <w:rPr>
          <w:rFonts w:asciiTheme="minorHAnsi" w:hAnsiTheme="minorHAnsi" w:cstheme="minorHAnsi"/>
        </w:rPr>
        <w:t>reducing unemployment</w:t>
      </w:r>
      <w:r w:rsidR="00BA3CF7">
        <w:rPr>
          <w:rFonts w:asciiTheme="minorHAnsi" w:hAnsiTheme="minorHAnsi" w:cstheme="minorHAnsi"/>
        </w:rPr>
        <w:t>,</w:t>
      </w:r>
      <w:r w:rsidR="00BD0F32">
        <w:rPr>
          <w:rFonts w:asciiTheme="minorHAnsi" w:hAnsiTheme="minorHAnsi" w:cstheme="minorHAnsi"/>
        </w:rPr>
        <w:t xml:space="preserve"> or encouraging participation in civic life - are unquestionably a good thing, but do they stop terrorism? </w:t>
      </w:r>
      <w:r w:rsidR="00BA3CF7">
        <w:rPr>
          <w:rFonts w:asciiTheme="minorHAnsi" w:hAnsiTheme="minorHAnsi" w:cstheme="minorHAnsi"/>
        </w:rPr>
        <w:t xml:space="preserve">That is a much harder question to </w:t>
      </w:r>
      <w:r w:rsidR="00DA5387">
        <w:rPr>
          <w:rFonts w:asciiTheme="minorHAnsi" w:hAnsiTheme="minorHAnsi" w:cstheme="minorHAnsi"/>
        </w:rPr>
        <w:t>resolve</w:t>
      </w:r>
      <w:r w:rsidR="00BA3CF7">
        <w:rPr>
          <w:rFonts w:asciiTheme="minorHAnsi" w:hAnsiTheme="minorHAnsi" w:cstheme="minorHAnsi"/>
        </w:rPr>
        <w:t xml:space="preserve">. How to do you prove someone has successfully been deterred from committing an act of terrorism </w:t>
      </w:r>
      <w:r w:rsidR="00E61D43">
        <w:rPr>
          <w:rFonts w:asciiTheme="minorHAnsi" w:hAnsiTheme="minorHAnsi" w:cstheme="minorHAnsi"/>
        </w:rPr>
        <w:t>when</w:t>
      </w:r>
      <w:r w:rsidR="00BA3CF7">
        <w:rPr>
          <w:rFonts w:asciiTheme="minorHAnsi" w:hAnsiTheme="minorHAnsi" w:cstheme="minorHAnsi"/>
        </w:rPr>
        <w:t xml:space="preserve"> the </w:t>
      </w:r>
      <w:r w:rsidR="004E53AC">
        <w:rPr>
          <w:rFonts w:asciiTheme="minorHAnsi" w:hAnsiTheme="minorHAnsi" w:cstheme="minorHAnsi"/>
        </w:rPr>
        <w:t xml:space="preserve">original </w:t>
      </w:r>
      <w:r w:rsidR="00BA3CF7">
        <w:rPr>
          <w:rFonts w:asciiTheme="minorHAnsi" w:hAnsiTheme="minorHAnsi" w:cstheme="minorHAnsi"/>
        </w:rPr>
        <w:t xml:space="preserve">assessment </w:t>
      </w:r>
      <w:r w:rsidR="00E61D43">
        <w:rPr>
          <w:rFonts w:asciiTheme="minorHAnsi" w:hAnsiTheme="minorHAnsi" w:cstheme="minorHAnsi"/>
        </w:rPr>
        <w:t>that the</w:t>
      </w:r>
      <w:r w:rsidR="00BA3CF7">
        <w:rPr>
          <w:rFonts w:asciiTheme="minorHAnsi" w:hAnsiTheme="minorHAnsi" w:cstheme="minorHAnsi"/>
        </w:rPr>
        <w:t xml:space="preserve"> individual pose</w:t>
      </w:r>
      <w:r w:rsidR="00E61D43">
        <w:rPr>
          <w:rFonts w:asciiTheme="minorHAnsi" w:hAnsiTheme="minorHAnsi" w:cstheme="minorHAnsi"/>
        </w:rPr>
        <w:t>d</w:t>
      </w:r>
      <w:r w:rsidR="00BA3CF7">
        <w:rPr>
          <w:rFonts w:asciiTheme="minorHAnsi" w:hAnsiTheme="minorHAnsi" w:cstheme="minorHAnsi"/>
        </w:rPr>
        <w:t xml:space="preserve"> </w:t>
      </w:r>
      <w:r w:rsidR="00D77997">
        <w:rPr>
          <w:rFonts w:asciiTheme="minorHAnsi" w:hAnsiTheme="minorHAnsi" w:cstheme="minorHAnsi"/>
        </w:rPr>
        <w:t xml:space="preserve">a potential risk </w:t>
      </w:r>
      <w:r w:rsidR="00BA3CF7">
        <w:rPr>
          <w:rFonts w:asciiTheme="minorHAnsi" w:hAnsiTheme="minorHAnsi" w:cstheme="minorHAnsi"/>
        </w:rPr>
        <w:t xml:space="preserve">is essentially speculative and may be itself flawed - especially when one takes into account </w:t>
      </w:r>
      <w:r w:rsidR="00E61D43">
        <w:rPr>
          <w:rFonts w:asciiTheme="minorHAnsi" w:hAnsiTheme="minorHAnsi" w:cstheme="minorHAnsi"/>
        </w:rPr>
        <w:t xml:space="preserve">the </w:t>
      </w:r>
      <w:r w:rsidR="00BA3CF7">
        <w:rPr>
          <w:rFonts w:asciiTheme="minorHAnsi" w:hAnsiTheme="minorHAnsi" w:cstheme="minorHAnsi"/>
        </w:rPr>
        <w:t xml:space="preserve">possible cross-cultural misunderstandings and misconceptions, as well as the inherent biases of those making the assessment, </w:t>
      </w:r>
      <w:r w:rsidR="00B241E1">
        <w:rPr>
          <w:rFonts w:asciiTheme="minorHAnsi" w:hAnsiTheme="minorHAnsi" w:cstheme="minorHAnsi"/>
        </w:rPr>
        <w:t>which</w:t>
      </w:r>
      <w:r w:rsidR="00BA3CF7">
        <w:rPr>
          <w:rFonts w:asciiTheme="minorHAnsi" w:hAnsiTheme="minorHAnsi" w:cstheme="minorHAnsi"/>
        </w:rPr>
        <w:t xml:space="preserve"> might have influence</w:t>
      </w:r>
      <w:r w:rsidR="00B241E1">
        <w:rPr>
          <w:rFonts w:asciiTheme="minorHAnsi" w:hAnsiTheme="minorHAnsi" w:cstheme="minorHAnsi"/>
        </w:rPr>
        <w:t>d</w:t>
      </w:r>
      <w:r w:rsidR="00BA3CF7">
        <w:rPr>
          <w:rFonts w:asciiTheme="minorHAnsi" w:hAnsiTheme="minorHAnsi" w:cstheme="minorHAnsi"/>
        </w:rPr>
        <w:t xml:space="preserve"> the initial referral</w:t>
      </w:r>
      <w:r w:rsidR="00DA5387">
        <w:rPr>
          <w:rFonts w:asciiTheme="minorHAnsi" w:hAnsiTheme="minorHAnsi" w:cstheme="minorHAnsi"/>
        </w:rPr>
        <w:t>?</w:t>
      </w:r>
      <w:r w:rsidR="00B241E1">
        <w:rPr>
          <w:rFonts w:asciiTheme="minorHAnsi" w:hAnsiTheme="minorHAnsi" w:cstheme="minorHAnsi"/>
        </w:rPr>
        <w:t xml:space="preserve"> </w:t>
      </w:r>
      <w:r w:rsidR="00D77997">
        <w:rPr>
          <w:rFonts w:asciiTheme="minorHAnsi" w:hAnsiTheme="minorHAnsi" w:cstheme="minorHAnsi"/>
        </w:rPr>
        <w:t>As the architects of the ERG22+ framework which underpin</w:t>
      </w:r>
      <w:r w:rsidR="00A60C53">
        <w:rPr>
          <w:rFonts w:asciiTheme="minorHAnsi" w:hAnsiTheme="minorHAnsi" w:cstheme="minorHAnsi"/>
        </w:rPr>
        <w:t>s</w:t>
      </w:r>
      <w:r w:rsidR="00D77997">
        <w:rPr>
          <w:rFonts w:asciiTheme="minorHAnsi" w:hAnsiTheme="minorHAnsi" w:cstheme="minorHAnsi"/>
        </w:rPr>
        <w:t xml:space="preserve"> so much of the </w:t>
      </w:r>
      <w:r w:rsidR="00A60C53">
        <w:rPr>
          <w:rFonts w:asciiTheme="minorHAnsi" w:hAnsiTheme="minorHAnsi" w:cstheme="minorHAnsi"/>
        </w:rPr>
        <w:t>Prevent strategy</w:t>
      </w:r>
      <w:r w:rsidR="00D77997">
        <w:rPr>
          <w:rFonts w:asciiTheme="minorHAnsi" w:hAnsiTheme="minorHAnsi" w:cstheme="minorHAnsi"/>
        </w:rPr>
        <w:t xml:space="preserve"> </w:t>
      </w:r>
      <w:r w:rsidR="00A60C53">
        <w:rPr>
          <w:rFonts w:asciiTheme="minorHAnsi" w:hAnsiTheme="minorHAnsi" w:cstheme="minorHAnsi"/>
        </w:rPr>
        <w:t xml:space="preserve">so </w:t>
      </w:r>
      <w:r w:rsidR="00D77997">
        <w:rPr>
          <w:rFonts w:asciiTheme="minorHAnsi" w:hAnsiTheme="minorHAnsi" w:cstheme="minorHAnsi"/>
        </w:rPr>
        <w:t>clearly apprehended, a</w:t>
      </w:r>
      <w:r w:rsidR="00B241E1">
        <w:rPr>
          <w:rFonts w:asciiTheme="minorHAnsi" w:hAnsiTheme="minorHAnsi" w:cstheme="minorHAnsi"/>
        </w:rPr>
        <w:t xml:space="preserve"> </w:t>
      </w:r>
      <w:r w:rsidR="00BF6165">
        <w:rPr>
          <w:rFonts w:asciiTheme="minorHAnsi" w:hAnsiTheme="minorHAnsi" w:cstheme="minorHAnsi"/>
        </w:rPr>
        <w:t>few days</w:t>
      </w:r>
      <w:r w:rsidR="001739A4">
        <w:rPr>
          <w:rFonts w:asciiTheme="minorHAnsi" w:hAnsiTheme="minorHAnsi" w:cstheme="minorHAnsi"/>
        </w:rPr>
        <w:t xml:space="preserve"> of</w:t>
      </w:r>
      <w:r w:rsidR="00BF6165">
        <w:rPr>
          <w:rFonts w:asciiTheme="minorHAnsi" w:hAnsiTheme="minorHAnsi" w:cstheme="minorHAnsi"/>
        </w:rPr>
        <w:t xml:space="preserve"> training</w:t>
      </w:r>
      <w:r w:rsidR="00B241E1">
        <w:rPr>
          <w:rFonts w:asciiTheme="minorHAnsi" w:hAnsiTheme="minorHAnsi" w:cstheme="minorHAnsi"/>
        </w:rPr>
        <w:t xml:space="preserve"> is surely not sufficient to eliminate such risks.</w:t>
      </w:r>
    </w:p>
    <w:p w14:paraId="16C3CA80" w14:textId="703C45EC" w:rsidR="00A60C53" w:rsidRDefault="00A60C53" w:rsidP="0093233C">
      <w:pPr>
        <w:jc w:val="both"/>
        <w:rPr>
          <w:rFonts w:asciiTheme="minorHAnsi" w:hAnsiTheme="minorHAnsi" w:cstheme="minorHAnsi"/>
        </w:rPr>
      </w:pPr>
    </w:p>
    <w:p w14:paraId="39C4925B" w14:textId="5AFB9F15" w:rsidR="0076247C" w:rsidRDefault="00A60C53" w:rsidP="009A16BE">
      <w:pPr>
        <w:jc w:val="both"/>
        <w:rPr>
          <w:rFonts w:asciiTheme="minorHAnsi" w:hAnsiTheme="minorHAnsi" w:cstheme="minorHAnsi"/>
        </w:rPr>
      </w:pPr>
      <w:r>
        <w:rPr>
          <w:rFonts w:asciiTheme="minorHAnsi" w:hAnsiTheme="minorHAnsi" w:cstheme="minorHAnsi"/>
        </w:rPr>
        <w:t xml:space="preserve">For </w:t>
      </w:r>
      <w:r w:rsidR="00AC2D66">
        <w:rPr>
          <w:rFonts w:asciiTheme="minorHAnsi" w:hAnsiTheme="minorHAnsi" w:cstheme="minorHAnsi"/>
        </w:rPr>
        <w:t>US</w:t>
      </w:r>
      <w:r>
        <w:rPr>
          <w:rFonts w:asciiTheme="minorHAnsi" w:hAnsiTheme="minorHAnsi" w:cstheme="minorHAnsi"/>
        </w:rPr>
        <w:t xml:space="preserve"> policymakers, beyond the potential </w:t>
      </w:r>
      <w:r w:rsidR="00C8305A">
        <w:rPr>
          <w:rFonts w:asciiTheme="minorHAnsi" w:hAnsiTheme="minorHAnsi" w:cstheme="minorHAnsi"/>
        </w:rPr>
        <w:t xml:space="preserve">risks and </w:t>
      </w:r>
      <w:r>
        <w:rPr>
          <w:rFonts w:asciiTheme="minorHAnsi" w:hAnsiTheme="minorHAnsi" w:cstheme="minorHAnsi"/>
        </w:rPr>
        <w:t xml:space="preserve">flaws in the Prevent strategy identified </w:t>
      </w:r>
      <w:r w:rsidR="00A41F1D">
        <w:rPr>
          <w:rFonts w:asciiTheme="minorHAnsi" w:hAnsiTheme="minorHAnsi" w:cstheme="minorHAnsi"/>
        </w:rPr>
        <w:t>above</w:t>
      </w:r>
      <w:r>
        <w:rPr>
          <w:rFonts w:asciiTheme="minorHAnsi" w:hAnsiTheme="minorHAnsi" w:cstheme="minorHAnsi"/>
        </w:rPr>
        <w:t>, there are t</w:t>
      </w:r>
      <w:r w:rsidR="0076247C">
        <w:rPr>
          <w:rFonts w:asciiTheme="minorHAnsi" w:hAnsiTheme="minorHAnsi" w:cstheme="minorHAnsi"/>
        </w:rPr>
        <w:t>hree</w:t>
      </w:r>
      <w:r>
        <w:rPr>
          <w:rFonts w:asciiTheme="minorHAnsi" w:hAnsiTheme="minorHAnsi" w:cstheme="minorHAnsi"/>
        </w:rPr>
        <w:t xml:space="preserve"> further issues to consider</w:t>
      </w:r>
      <w:r w:rsidR="00AC2D66">
        <w:rPr>
          <w:rFonts w:asciiTheme="minorHAnsi" w:hAnsiTheme="minorHAnsi" w:cstheme="minorHAnsi"/>
        </w:rPr>
        <w:t xml:space="preserve"> from a </w:t>
      </w:r>
      <w:r w:rsidR="000E0436">
        <w:rPr>
          <w:rFonts w:asciiTheme="minorHAnsi" w:hAnsiTheme="minorHAnsi" w:cstheme="minorHAnsi"/>
        </w:rPr>
        <w:t>specifical</w:t>
      </w:r>
      <w:r w:rsidR="00AC2D66">
        <w:rPr>
          <w:rFonts w:asciiTheme="minorHAnsi" w:hAnsiTheme="minorHAnsi" w:cstheme="minorHAnsi"/>
        </w:rPr>
        <w:t>ly American perspective</w:t>
      </w:r>
      <w:r>
        <w:rPr>
          <w:rFonts w:asciiTheme="minorHAnsi" w:hAnsiTheme="minorHAnsi" w:cstheme="minorHAnsi"/>
        </w:rPr>
        <w:t>. First, by American standards</w:t>
      </w:r>
      <w:r w:rsidR="00A41F1D">
        <w:rPr>
          <w:rFonts w:asciiTheme="minorHAnsi" w:hAnsiTheme="minorHAnsi" w:cstheme="minorHAnsi"/>
        </w:rPr>
        <w:t>,</w:t>
      </w:r>
      <w:r>
        <w:rPr>
          <w:rFonts w:asciiTheme="minorHAnsi" w:hAnsiTheme="minorHAnsi" w:cstheme="minorHAnsi"/>
        </w:rPr>
        <w:t xml:space="preserve"> the United Kingdom is a highly centralized state and </w:t>
      </w:r>
      <w:r w:rsidR="005015EA">
        <w:rPr>
          <w:rFonts w:asciiTheme="minorHAnsi" w:hAnsiTheme="minorHAnsi" w:cstheme="minorHAnsi"/>
        </w:rPr>
        <w:t xml:space="preserve">the government of the day has the means at its disposal to ensure the uniform national implementation of policy initiatives </w:t>
      </w:r>
      <w:r w:rsidR="00E61D43">
        <w:rPr>
          <w:rFonts w:asciiTheme="minorHAnsi" w:hAnsiTheme="minorHAnsi" w:cstheme="minorHAnsi"/>
        </w:rPr>
        <w:t>at local community level</w:t>
      </w:r>
      <w:r w:rsidR="005015EA">
        <w:rPr>
          <w:rFonts w:asciiTheme="minorHAnsi" w:hAnsiTheme="minorHAnsi" w:cstheme="minorHAnsi"/>
        </w:rPr>
        <w:t xml:space="preserve">. The federal structure of the United States does not afford the United States Government the </w:t>
      </w:r>
      <w:r w:rsidR="007E75BD">
        <w:rPr>
          <w:rFonts w:asciiTheme="minorHAnsi" w:hAnsiTheme="minorHAnsi" w:cstheme="minorHAnsi"/>
        </w:rPr>
        <w:t xml:space="preserve">same </w:t>
      </w:r>
      <w:r w:rsidR="00A41F1D">
        <w:rPr>
          <w:rFonts w:asciiTheme="minorHAnsi" w:hAnsiTheme="minorHAnsi" w:cstheme="minorHAnsi"/>
        </w:rPr>
        <w:t>power</w:t>
      </w:r>
      <w:r w:rsidR="005015EA">
        <w:rPr>
          <w:rFonts w:asciiTheme="minorHAnsi" w:hAnsiTheme="minorHAnsi" w:cstheme="minorHAnsi"/>
        </w:rPr>
        <w:t xml:space="preserve">, and implementing a comprehensive nationwide Prevent-style initiative would face perhaps insurmountable jurisdictional challenges. </w:t>
      </w:r>
      <w:r w:rsidR="00A41F1D">
        <w:rPr>
          <w:rFonts w:asciiTheme="minorHAnsi" w:hAnsiTheme="minorHAnsi" w:cstheme="minorHAnsi"/>
        </w:rPr>
        <w:t xml:space="preserve">It is hard to see how a jigsaw of disparate state </w:t>
      </w:r>
      <w:proofErr w:type="spellStart"/>
      <w:r w:rsidR="004C71EF">
        <w:rPr>
          <w:rFonts w:asciiTheme="minorHAnsi" w:hAnsiTheme="minorHAnsi" w:cstheme="minorHAnsi"/>
        </w:rPr>
        <w:t>programmes</w:t>
      </w:r>
      <w:proofErr w:type="spellEnd"/>
      <w:r w:rsidR="004C71EF">
        <w:rPr>
          <w:rFonts w:asciiTheme="minorHAnsi" w:hAnsiTheme="minorHAnsi" w:cstheme="minorHAnsi"/>
        </w:rPr>
        <w:t xml:space="preserve"> would effectively cohere</w:t>
      </w:r>
      <w:r w:rsidR="00AC2D66">
        <w:rPr>
          <w:rFonts w:asciiTheme="minorHAnsi" w:hAnsiTheme="minorHAnsi" w:cstheme="minorHAnsi"/>
        </w:rPr>
        <w:t xml:space="preserve"> – especially in a landscape of heavily polarized ‘red’ and ‘blue’ states</w:t>
      </w:r>
      <w:r w:rsidR="004C71EF">
        <w:rPr>
          <w:rFonts w:asciiTheme="minorHAnsi" w:hAnsiTheme="minorHAnsi" w:cstheme="minorHAnsi"/>
        </w:rPr>
        <w:t xml:space="preserve">. Furthermore, because of the tragic history of school shootings in the United States many local school boards already have a range of early intervention policies in place to identify and intervene to support alienated youths. </w:t>
      </w:r>
      <w:r w:rsidR="0076247C">
        <w:rPr>
          <w:rFonts w:asciiTheme="minorHAnsi" w:hAnsiTheme="minorHAnsi" w:cstheme="minorHAnsi"/>
        </w:rPr>
        <w:t>It may be that the United States already has some very effective mechanisms for confronting the threat of REMT operating under the counter-terrorism radar at the local level. This could be a fruitful area for further research.</w:t>
      </w:r>
    </w:p>
    <w:p w14:paraId="4A236510" w14:textId="77777777" w:rsidR="0076247C" w:rsidRDefault="0076247C" w:rsidP="009A16BE">
      <w:pPr>
        <w:jc w:val="both"/>
        <w:rPr>
          <w:rFonts w:asciiTheme="minorHAnsi" w:hAnsiTheme="minorHAnsi" w:cstheme="minorHAnsi"/>
        </w:rPr>
      </w:pPr>
    </w:p>
    <w:p w14:paraId="2A4B52D8" w14:textId="0124EAB3" w:rsidR="00451D6F" w:rsidRPr="0076247C" w:rsidRDefault="0076247C" w:rsidP="00451D6F">
      <w:pPr>
        <w:jc w:val="both"/>
        <w:rPr>
          <w:rFonts w:asciiTheme="minorHAnsi" w:hAnsiTheme="minorHAnsi" w:cstheme="minorHAnsi"/>
        </w:rPr>
      </w:pPr>
      <w:r>
        <w:rPr>
          <w:rFonts w:asciiTheme="minorHAnsi" w:hAnsiTheme="minorHAnsi" w:cstheme="minorHAnsi"/>
        </w:rPr>
        <w:t>Second, an</w:t>
      </w:r>
      <w:r w:rsidR="004C71EF">
        <w:rPr>
          <w:rFonts w:asciiTheme="minorHAnsi" w:hAnsiTheme="minorHAnsi" w:cstheme="minorHAnsi"/>
        </w:rPr>
        <w:t xml:space="preserve"> important takeaway from the </w:t>
      </w:r>
      <w:r w:rsidR="00AD0E6A">
        <w:rPr>
          <w:rFonts w:asciiTheme="minorHAnsi" w:hAnsiTheme="minorHAnsi" w:cstheme="minorHAnsi"/>
        </w:rPr>
        <w:t>British</w:t>
      </w:r>
      <w:r w:rsidR="004C71EF">
        <w:rPr>
          <w:rFonts w:asciiTheme="minorHAnsi" w:hAnsiTheme="minorHAnsi" w:cstheme="minorHAnsi"/>
        </w:rPr>
        <w:t xml:space="preserve"> experience is that the national security frame within which Prevent operates is itself often a major source of friction, and that traditional social welfare or educational mechanisms may ultimately be more effective in </w:t>
      </w:r>
      <w:r w:rsidR="007E75BD">
        <w:rPr>
          <w:rFonts w:asciiTheme="minorHAnsi" w:hAnsiTheme="minorHAnsi" w:cstheme="minorHAnsi"/>
        </w:rPr>
        <w:t>prevent</w:t>
      </w:r>
      <w:r w:rsidR="004C71EF">
        <w:rPr>
          <w:rFonts w:asciiTheme="minorHAnsi" w:hAnsiTheme="minorHAnsi" w:cstheme="minorHAnsi"/>
        </w:rPr>
        <w:t xml:space="preserve">ing violent extremism because they fall outside the orbit of security agencies. </w:t>
      </w:r>
      <w:r w:rsidR="00AD0E6A">
        <w:rPr>
          <w:rFonts w:asciiTheme="minorHAnsi" w:hAnsiTheme="minorHAnsi" w:cstheme="minorHAnsi"/>
        </w:rPr>
        <w:t>Careful consideration should be given to how p</w:t>
      </w:r>
      <w:r w:rsidR="00451D6F">
        <w:rPr>
          <w:rFonts w:asciiTheme="minorHAnsi" w:hAnsiTheme="minorHAnsi" w:cstheme="minorHAnsi"/>
          <w:bdr w:val="none" w:sz="0" w:space="0" w:color="auto" w:frame="1"/>
        </w:rPr>
        <w:t xml:space="preserve">re-emptive US government interventions – especially those that </w:t>
      </w:r>
      <w:r w:rsidR="00AD0E6A">
        <w:rPr>
          <w:rFonts w:asciiTheme="minorHAnsi" w:hAnsiTheme="minorHAnsi" w:cstheme="minorHAnsi"/>
          <w:bdr w:val="none" w:sz="0" w:space="0" w:color="auto" w:frame="1"/>
        </w:rPr>
        <w:t>would likely</w:t>
      </w:r>
      <w:r w:rsidR="00451D6F">
        <w:rPr>
          <w:rFonts w:asciiTheme="minorHAnsi" w:hAnsiTheme="minorHAnsi" w:cstheme="minorHAnsi"/>
          <w:bdr w:val="none" w:sz="0" w:space="0" w:color="auto" w:frame="1"/>
        </w:rPr>
        <w:t xml:space="preserve"> fall primarily on children – might be received by wider political constituencies that often fall prey to what Richard </w:t>
      </w:r>
      <w:proofErr w:type="spellStart"/>
      <w:r w:rsidR="00451D6F">
        <w:rPr>
          <w:rFonts w:asciiTheme="minorHAnsi" w:hAnsiTheme="minorHAnsi" w:cstheme="minorHAnsi"/>
          <w:bdr w:val="none" w:sz="0" w:space="0" w:color="auto" w:frame="1"/>
        </w:rPr>
        <w:t>Hofstadtler</w:t>
      </w:r>
      <w:proofErr w:type="spellEnd"/>
      <w:r w:rsidR="00451D6F">
        <w:rPr>
          <w:rFonts w:asciiTheme="minorHAnsi" w:hAnsiTheme="minorHAnsi" w:cstheme="minorHAnsi"/>
          <w:bdr w:val="none" w:sz="0" w:space="0" w:color="auto" w:frame="1"/>
        </w:rPr>
        <w:t xml:space="preserve"> famously described as “the </w:t>
      </w:r>
      <w:r w:rsidR="00451D6F">
        <w:rPr>
          <w:rFonts w:asciiTheme="minorHAnsi" w:hAnsiTheme="minorHAnsi" w:cstheme="minorHAnsi"/>
          <w:bdr w:val="none" w:sz="0" w:space="0" w:color="auto" w:frame="1"/>
        </w:rPr>
        <w:lastRenderedPageBreak/>
        <w:t>paranoid style in American politics”.</w:t>
      </w:r>
      <w:r w:rsidR="00451D6F">
        <w:rPr>
          <w:rStyle w:val="FootnoteReference"/>
          <w:rFonts w:asciiTheme="minorHAnsi" w:hAnsiTheme="minorHAnsi" w:cstheme="minorHAnsi"/>
          <w:bdr w:val="none" w:sz="0" w:space="0" w:color="auto" w:frame="1"/>
        </w:rPr>
        <w:footnoteReference w:id="92"/>
      </w:r>
      <w:r w:rsidR="00451D6F">
        <w:rPr>
          <w:rFonts w:asciiTheme="minorHAnsi" w:hAnsiTheme="minorHAnsi" w:cstheme="minorHAnsi"/>
          <w:bdr w:val="none" w:sz="0" w:space="0" w:color="auto" w:frame="1"/>
        </w:rPr>
        <w:t xml:space="preserve"> Long before Q dropped his first </w:t>
      </w:r>
      <w:r w:rsidR="000276C0">
        <w:rPr>
          <w:rFonts w:asciiTheme="minorHAnsi" w:hAnsiTheme="minorHAnsi" w:cstheme="minorHAnsi"/>
          <w:bdr w:val="none" w:sz="0" w:space="0" w:color="auto" w:frame="1"/>
        </w:rPr>
        <w:t>breadcrumb</w:t>
      </w:r>
      <w:r w:rsidR="00451D6F">
        <w:rPr>
          <w:rFonts w:asciiTheme="minorHAnsi" w:hAnsiTheme="minorHAnsi" w:cstheme="minorHAnsi"/>
          <w:bdr w:val="none" w:sz="0" w:space="0" w:color="auto" w:frame="1"/>
        </w:rPr>
        <w:t xml:space="preserve"> and the radical right fringe developed an obsession with imaginary pedophile rings operating out of pizza </w:t>
      </w:r>
      <w:proofErr w:type="spellStart"/>
      <w:r w:rsidR="00451D6F">
        <w:rPr>
          <w:rFonts w:asciiTheme="minorHAnsi" w:hAnsiTheme="minorHAnsi" w:cstheme="minorHAnsi"/>
          <w:bdr w:val="none" w:sz="0" w:space="0" w:color="auto" w:frame="1"/>
        </w:rPr>
        <w:t>parlours</w:t>
      </w:r>
      <w:proofErr w:type="spellEnd"/>
      <w:r w:rsidR="00451D6F">
        <w:rPr>
          <w:rFonts w:asciiTheme="minorHAnsi" w:hAnsiTheme="minorHAnsi" w:cstheme="minorHAnsi"/>
          <w:bdr w:val="none" w:sz="0" w:space="0" w:color="auto" w:frame="1"/>
        </w:rPr>
        <w:t xml:space="preserve"> in Washington DC, neo-Nazi and white supremacist movements in the United States have indulged in all manner of lurid conspiracy theories about the federal government, which gained dubious currency in the wake of emblematic confrontations between likeminded individuals and federal law enforcement agents. The 1992 Ruby Ridge stand-off in Idaho and the 1993 Branch Davidian Sect Compound siege in Texas were both cited as justification for the 1995 bombing of the Alfred P. </w:t>
      </w:r>
      <w:proofErr w:type="spellStart"/>
      <w:r w:rsidR="00451D6F">
        <w:rPr>
          <w:rFonts w:asciiTheme="minorHAnsi" w:hAnsiTheme="minorHAnsi" w:cstheme="minorHAnsi"/>
          <w:bdr w:val="none" w:sz="0" w:space="0" w:color="auto" w:frame="1"/>
        </w:rPr>
        <w:t>Murrah</w:t>
      </w:r>
      <w:proofErr w:type="spellEnd"/>
      <w:r w:rsidR="00451D6F">
        <w:rPr>
          <w:rFonts w:asciiTheme="minorHAnsi" w:hAnsiTheme="minorHAnsi" w:cstheme="minorHAnsi"/>
          <w:bdr w:val="none" w:sz="0" w:space="0" w:color="auto" w:frame="1"/>
        </w:rPr>
        <w:t xml:space="preserve"> Federal Building in Oklahoma City by the far-right bomber Timothy McVeigh.</w:t>
      </w:r>
      <w:r w:rsidR="00451D6F">
        <w:rPr>
          <w:rStyle w:val="FootnoteReference"/>
          <w:rFonts w:asciiTheme="minorHAnsi" w:hAnsiTheme="minorHAnsi" w:cstheme="minorHAnsi"/>
          <w:bdr w:val="none" w:sz="0" w:space="0" w:color="auto" w:frame="1"/>
        </w:rPr>
        <w:footnoteReference w:id="93"/>
      </w:r>
      <w:r w:rsidR="00451D6F">
        <w:rPr>
          <w:rFonts w:asciiTheme="minorHAnsi" w:hAnsiTheme="minorHAnsi" w:cstheme="minorHAnsi"/>
          <w:bdr w:val="none" w:sz="0" w:space="0" w:color="auto" w:frame="1"/>
        </w:rPr>
        <w:t xml:space="preserve"> There would be a very real danger that the introduction of PVE </w:t>
      </w:r>
      <w:proofErr w:type="spellStart"/>
      <w:r w:rsidR="00451D6F">
        <w:rPr>
          <w:rFonts w:asciiTheme="minorHAnsi" w:hAnsiTheme="minorHAnsi" w:cstheme="minorHAnsi"/>
          <w:bdr w:val="none" w:sz="0" w:space="0" w:color="auto" w:frame="1"/>
        </w:rPr>
        <w:t>programmes</w:t>
      </w:r>
      <w:proofErr w:type="spellEnd"/>
      <w:r w:rsidR="00451D6F">
        <w:rPr>
          <w:rFonts w:asciiTheme="minorHAnsi" w:hAnsiTheme="minorHAnsi" w:cstheme="minorHAnsi"/>
          <w:bdr w:val="none" w:sz="0" w:space="0" w:color="auto" w:frame="1"/>
        </w:rPr>
        <w:t xml:space="preserve"> targeting REMT-affiliated extremist youths would simply ‘</w:t>
      </w:r>
      <w:proofErr w:type="spellStart"/>
      <w:r w:rsidR="00451D6F">
        <w:rPr>
          <w:rFonts w:asciiTheme="minorHAnsi" w:hAnsiTheme="minorHAnsi" w:cstheme="minorHAnsi"/>
          <w:bdr w:val="none" w:sz="0" w:space="0" w:color="auto" w:frame="1"/>
        </w:rPr>
        <w:t>suspectify</w:t>
      </w:r>
      <w:proofErr w:type="spellEnd"/>
      <w:r w:rsidR="00451D6F">
        <w:rPr>
          <w:rFonts w:asciiTheme="minorHAnsi" w:hAnsiTheme="minorHAnsi" w:cstheme="minorHAnsi"/>
          <w:bdr w:val="none" w:sz="0" w:space="0" w:color="auto" w:frame="1"/>
        </w:rPr>
        <w:t>’ a large segment of population and end up exacerbating existing anti-government narratives</w:t>
      </w:r>
      <w:r w:rsidR="00AC2D66">
        <w:rPr>
          <w:rFonts w:asciiTheme="minorHAnsi" w:hAnsiTheme="minorHAnsi" w:cstheme="minorHAnsi"/>
          <w:bdr w:val="none" w:sz="0" w:space="0" w:color="auto" w:frame="1"/>
        </w:rPr>
        <w:t>,</w:t>
      </w:r>
      <w:r w:rsidR="00451D6F">
        <w:rPr>
          <w:rFonts w:asciiTheme="minorHAnsi" w:hAnsiTheme="minorHAnsi" w:cstheme="minorHAnsi"/>
          <w:bdr w:val="none" w:sz="0" w:space="0" w:color="auto" w:frame="1"/>
        </w:rPr>
        <w:t xml:space="preserve"> adding further fuel to the paranoid fantasies that appear to underpin many of the REMT groups and militias currently active across America.  </w:t>
      </w:r>
    </w:p>
    <w:p w14:paraId="0603C309" w14:textId="77777777" w:rsidR="004C71EF" w:rsidRPr="009A0105" w:rsidRDefault="004C71EF" w:rsidP="009A16BE">
      <w:pPr>
        <w:jc w:val="both"/>
        <w:rPr>
          <w:rFonts w:asciiTheme="minorHAnsi" w:hAnsiTheme="minorHAnsi" w:cstheme="minorHAnsi"/>
        </w:rPr>
      </w:pPr>
    </w:p>
    <w:p w14:paraId="6E4B334E" w14:textId="54C7CD0B" w:rsidR="00451D6F" w:rsidRDefault="005015EA" w:rsidP="009A0105">
      <w:pPr>
        <w:pStyle w:val="BodyText"/>
        <w:jc w:val="both"/>
        <w:rPr>
          <w:rFonts w:asciiTheme="minorHAnsi" w:hAnsiTheme="minorHAnsi" w:cstheme="minorHAnsi"/>
          <w:sz w:val="24"/>
          <w:szCs w:val="24"/>
        </w:rPr>
      </w:pPr>
      <w:r w:rsidRPr="009A0105">
        <w:rPr>
          <w:rFonts w:asciiTheme="minorHAnsi" w:hAnsiTheme="minorHAnsi" w:cstheme="minorHAnsi"/>
          <w:sz w:val="24"/>
          <w:szCs w:val="24"/>
        </w:rPr>
        <w:t xml:space="preserve">The </w:t>
      </w:r>
      <w:r w:rsidR="0076247C">
        <w:rPr>
          <w:rFonts w:asciiTheme="minorHAnsi" w:hAnsiTheme="minorHAnsi" w:cstheme="minorHAnsi"/>
          <w:sz w:val="24"/>
          <w:szCs w:val="24"/>
        </w:rPr>
        <w:t>third</w:t>
      </w:r>
      <w:r w:rsidRPr="009A0105">
        <w:rPr>
          <w:rFonts w:asciiTheme="minorHAnsi" w:hAnsiTheme="minorHAnsi" w:cstheme="minorHAnsi"/>
          <w:sz w:val="24"/>
          <w:szCs w:val="24"/>
        </w:rPr>
        <w:t xml:space="preserve"> challenge </w:t>
      </w:r>
      <w:r w:rsidR="009A16BE" w:rsidRPr="009A0105">
        <w:rPr>
          <w:rFonts w:asciiTheme="minorHAnsi" w:hAnsiTheme="minorHAnsi" w:cstheme="minorHAnsi"/>
          <w:sz w:val="24"/>
          <w:szCs w:val="24"/>
        </w:rPr>
        <w:t xml:space="preserve">relates to the high degree of polarization within mainstream political parties in the United States. Even in the considerably less febrile atmosphere of British politics, Sir Peter Fahy, formerly the national police lead for Prevent </w:t>
      </w:r>
      <w:r w:rsidR="000B7AED" w:rsidRPr="009A0105">
        <w:rPr>
          <w:rFonts w:asciiTheme="minorHAnsi" w:hAnsiTheme="minorHAnsi" w:cstheme="minorHAnsi"/>
          <w:sz w:val="24"/>
          <w:szCs w:val="24"/>
        </w:rPr>
        <w:t>told</w:t>
      </w:r>
      <w:r w:rsidR="009A16BE" w:rsidRPr="009A0105">
        <w:rPr>
          <w:rFonts w:asciiTheme="minorHAnsi" w:hAnsiTheme="minorHAnsi" w:cstheme="minorHAnsi"/>
          <w:sz w:val="24"/>
          <w:szCs w:val="24"/>
        </w:rPr>
        <w:t xml:space="preserve"> the Parliamentary Joint Committee on Human Rights </w:t>
      </w:r>
      <w:r w:rsidR="004E155C">
        <w:rPr>
          <w:rFonts w:asciiTheme="minorHAnsi" w:hAnsiTheme="minorHAnsi" w:cstheme="minorHAnsi"/>
          <w:sz w:val="24"/>
          <w:szCs w:val="24"/>
        </w:rPr>
        <w:t xml:space="preserve">in July 2017 </w:t>
      </w:r>
      <w:r w:rsidR="009A16BE" w:rsidRPr="009A0105">
        <w:rPr>
          <w:rFonts w:asciiTheme="minorHAnsi" w:hAnsiTheme="minorHAnsi" w:cstheme="minorHAnsi"/>
          <w:sz w:val="24"/>
          <w:szCs w:val="24"/>
        </w:rPr>
        <w:t>that he was concerned that police chiefs would inevitably come under pressure from MPs and others to use Prevent powers in inappropriate situations, for example to silence unwelcome dissent.</w:t>
      </w:r>
      <w:r w:rsidR="009A16BE" w:rsidRPr="009A0105">
        <w:rPr>
          <w:rStyle w:val="FootnoteReference"/>
          <w:rFonts w:asciiTheme="minorHAnsi" w:hAnsiTheme="minorHAnsi" w:cstheme="minorHAnsi"/>
          <w:sz w:val="24"/>
          <w:szCs w:val="24"/>
        </w:rPr>
        <w:footnoteReference w:id="94"/>
      </w:r>
      <w:r w:rsidR="009A16BE" w:rsidRPr="009A0105">
        <w:rPr>
          <w:rFonts w:asciiTheme="minorHAnsi" w:hAnsiTheme="minorHAnsi" w:cstheme="minorHAnsi"/>
          <w:sz w:val="24"/>
          <w:szCs w:val="24"/>
        </w:rPr>
        <w:t xml:space="preserve"> </w:t>
      </w:r>
      <w:r w:rsidR="004E155C" w:rsidRPr="009A0105">
        <w:rPr>
          <w:rFonts w:asciiTheme="minorHAnsi" w:eastAsia="Times New Roman" w:hAnsiTheme="minorHAnsi" w:cstheme="minorHAnsi"/>
          <w:color w:val="0B0C0C"/>
          <w:sz w:val="24"/>
          <w:szCs w:val="24"/>
        </w:rPr>
        <w:t xml:space="preserve">Arun </w:t>
      </w:r>
      <w:proofErr w:type="spellStart"/>
      <w:r w:rsidR="004E155C" w:rsidRPr="009A0105">
        <w:rPr>
          <w:rFonts w:asciiTheme="minorHAnsi" w:eastAsia="Times New Roman" w:hAnsiTheme="minorHAnsi" w:cstheme="minorHAnsi"/>
          <w:color w:val="0B0C0C"/>
          <w:sz w:val="24"/>
          <w:szCs w:val="24"/>
        </w:rPr>
        <w:t>Kundnani</w:t>
      </w:r>
      <w:proofErr w:type="spellEnd"/>
      <w:r w:rsidR="004E155C">
        <w:rPr>
          <w:rFonts w:asciiTheme="minorHAnsi" w:eastAsia="Times New Roman" w:hAnsiTheme="minorHAnsi" w:cstheme="minorHAnsi"/>
          <w:color w:val="0B0C0C"/>
          <w:sz w:val="24"/>
          <w:szCs w:val="24"/>
        </w:rPr>
        <w:t xml:space="preserve"> similarly cautioned in relation to plans to extend the Prevent</w:t>
      </w:r>
      <w:r w:rsidR="004E155C" w:rsidRPr="009A0105">
        <w:rPr>
          <w:rFonts w:asciiTheme="minorHAnsi" w:eastAsia="Times New Roman" w:hAnsiTheme="minorHAnsi" w:cstheme="minorHAnsi"/>
          <w:color w:val="0B0C0C"/>
          <w:sz w:val="24"/>
          <w:szCs w:val="24"/>
        </w:rPr>
        <w:t xml:space="preserve"> </w:t>
      </w:r>
      <w:r w:rsidR="004E155C">
        <w:rPr>
          <w:rFonts w:asciiTheme="minorHAnsi" w:eastAsia="Times New Roman" w:hAnsiTheme="minorHAnsi" w:cstheme="minorHAnsi"/>
          <w:color w:val="0B0C0C"/>
          <w:sz w:val="24"/>
          <w:szCs w:val="24"/>
        </w:rPr>
        <w:t xml:space="preserve">strategy: </w:t>
      </w:r>
      <w:r w:rsidR="004E155C" w:rsidRPr="009A0105">
        <w:rPr>
          <w:rFonts w:asciiTheme="minorHAnsi" w:eastAsia="Times New Roman" w:hAnsiTheme="minorHAnsi" w:cstheme="minorHAnsi"/>
          <w:color w:val="0B0C0C"/>
          <w:sz w:val="24"/>
          <w:szCs w:val="24"/>
        </w:rPr>
        <w:t xml:space="preserve">“The danger is that the distinction between ‘moderate’ and ‘extremist’ is flexible enough to be exploited </w:t>
      </w:r>
      <w:r w:rsidR="004E155C" w:rsidRPr="00F04E83">
        <w:rPr>
          <w:rFonts w:asciiTheme="minorHAnsi" w:eastAsia="Times New Roman" w:hAnsiTheme="minorHAnsi" w:cstheme="minorHAnsi"/>
          <w:color w:val="0B0C0C"/>
          <w:sz w:val="24"/>
          <w:szCs w:val="24"/>
        </w:rPr>
        <w:t>by government to marginalize those who are critical of its policies.”</w:t>
      </w:r>
      <w:r w:rsidR="004E155C" w:rsidRPr="00F04E83">
        <w:rPr>
          <w:rStyle w:val="FootnoteReference"/>
          <w:rFonts w:asciiTheme="minorHAnsi" w:eastAsia="Times New Roman" w:hAnsiTheme="minorHAnsi" w:cstheme="minorHAnsi"/>
          <w:color w:val="0B0C0C"/>
          <w:sz w:val="24"/>
          <w:szCs w:val="24"/>
        </w:rPr>
        <w:footnoteReference w:id="95"/>
      </w:r>
      <w:r w:rsidR="004E155C" w:rsidRPr="00F04E83">
        <w:rPr>
          <w:rFonts w:asciiTheme="minorHAnsi" w:eastAsia="Times New Roman" w:hAnsiTheme="minorHAnsi" w:cstheme="minorHAnsi"/>
          <w:color w:val="0B0C0C"/>
          <w:sz w:val="24"/>
          <w:szCs w:val="24"/>
        </w:rPr>
        <w:t xml:space="preserve"> </w:t>
      </w:r>
      <w:r w:rsidR="00F04E83" w:rsidRPr="00F04E83">
        <w:rPr>
          <w:rFonts w:asciiTheme="minorHAnsi" w:hAnsiTheme="minorHAnsi" w:cstheme="minorHAnsi"/>
          <w:sz w:val="24"/>
          <w:szCs w:val="24"/>
          <w:bdr w:val="none" w:sz="0" w:space="0" w:color="auto" w:frame="1"/>
        </w:rPr>
        <w:t xml:space="preserve">There is a very real concern that PVE policies may be captured or expanded to make partisan political points or to demagogue already marginalized communities, rather than </w:t>
      </w:r>
      <w:r w:rsidR="000B3591">
        <w:rPr>
          <w:rFonts w:asciiTheme="minorHAnsi" w:hAnsiTheme="minorHAnsi" w:cstheme="minorHAnsi"/>
          <w:sz w:val="24"/>
          <w:szCs w:val="24"/>
          <w:bdr w:val="none" w:sz="0" w:space="0" w:color="auto" w:frame="1"/>
        </w:rPr>
        <w:t xml:space="preserve">delivered </w:t>
      </w:r>
      <w:r w:rsidR="00F04E83" w:rsidRPr="00F04E83">
        <w:rPr>
          <w:rFonts w:asciiTheme="minorHAnsi" w:hAnsiTheme="minorHAnsi" w:cstheme="minorHAnsi"/>
          <w:sz w:val="24"/>
          <w:szCs w:val="24"/>
          <w:bdr w:val="none" w:sz="0" w:space="0" w:color="auto" w:frame="1"/>
        </w:rPr>
        <w:t xml:space="preserve">in </w:t>
      </w:r>
      <w:r w:rsidR="000B3591">
        <w:rPr>
          <w:rFonts w:asciiTheme="minorHAnsi" w:hAnsiTheme="minorHAnsi" w:cstheme="minorHAnsi"/>
          <w:sz w:val="24"/>
          <w:szCs w:val="24"/>
          <w:bdr w:val="none" w:sz="0" w:space="0" w:color="auto" w:frame="1"/>
        </w:rPr>
        <w:t>line with</w:t>
      </w:r>
      <w:r w:rsidR="00F04E83" w:rsidRPr="00F04E83">
        <w:rPr>
          <w:rFonts w:asciiTheme="minorHAnsi" w:hAnsiTheme="minorHAnsi" w:cstheme="minorHAnsi"/>
          <w:sz w:val="24"/>
          <w:szCs w:val="24"/>
          <w:bdr w:val="none" w:sz="0" w:space="0" w:color="auto" w:frame="1"/>
        </w:rPr>
        <w:t xml:space="preserve"> evidence-based policy research. The August 2022 Conservative Party leadership election in the United Kingdom, which saw one of the </w:t>
      </w:r>
      <w:r w:rsidR="000B3591">
        <w:rPr>
          <w:rFonts w:asciiTheme="minorHAnsi" w:hAnsiTheme="minorHAnsi" w:cstheme="minorHAnsi"/>
          <w:sz w:val="24"/>
          <w:szCs w:val="24"/>
          <w:bdr w:val="none" w:sz="0" w:space="0" w:color="auto" w:frame="1"/>
        </w:rPr>
        <w:t xml:space="preserve">two </w:t>
      </w:r>
      <w:r w:rsidR="00F04E83" w:rsidRPr="00F04E83">
        <w:rPr>
          <w:rFonts w:asciiTheme="minorHAnsi" w:hAnsiTheme="minorHAnsi" w:cstheme="minorHAnsi"/>
          <w:sz w:val="24"/>
          <w:szCs w:val="24"/>
          <w:bdr w:val="none" w:sz="0" w:space="0" w:color="auto" w:frame="1"/>
        </w:rPr>
        <w:t>penultimate candidates, Rishi Sunak, seek to burnish his patriotic credentials by pledging to extend the Prevent strategy to encompass those who “vilify” Britain, is an instructive case in point.</w:t>
      </w:r>
      <w:r w:rsidR="00F04E83" w:rsidRPr="00F04E83">
        <w:rPr>
          <w:rStyle w:val="FootnoteReference"/>
          <w:rFonts w:asciiTheme="minorHAnsi" w:hAnsiTheme="minorHAnsi" w:cstheme="minorHAnsi"/>
          <w:sz w:val="24"/>
          <w:szCs w:val="24"/>
          <w:bdr w:val="none" w:sz="0" w:space="0" w:color="auto" w:frame="1"/>
        </w:rPr>
        <w:footnoteReference w:id="96"/>
      </w:r>
      <w:r w:rsidR="00F04E83" w:rsidRPr="00F04E83">
        <w:rPr>
          <w:rFonts w:asciiTheme="minorHAnsi" w:hAnsiTheme="minorHAnsi" w:cstheme="minorHAnsi"/>
          <w:sz w:val="24"/>
          <w:szCs w:val="24"/>
          <w:bdr w:val="none" w:sz="0" w:space="0" w:color="auto" w:frame="1"/>
        </w:rPr>
        <w:t xml:space="preserve"> </w:t>
      </w:r>
      <w:r w:rsidR="00A41F1D" w:rsidRPr="00F04E83">
        <w:rPr>
          <w:rFonts w:asciiTheme="minorHAnsi" w:hAnsiTheme="minorHAnsi" w:cstheme="minorHAnsi"/>
          <w:sz w:val="24"/>
          <w:szCs w:val="24"/>
        </w:rPr>
        <w:t>Given that some</w:t>
      </w:r>
      <w:r w:rsidR="009A16BE" w:rsidRPr="00F04E83">
        <w:rPr>
          <w:rFonts w:asciiTheme="minorHAnsi" w:hAnsiTheme="minorHAnsi" w:cstheme="minorHAnsi"/>
          <w:sz w:val="24"/>
          <w:szCs w:val="24"/>
        </w:rPr>
        <w:t xml:space="preserve"> right-wing political figures and media commentators in the United States</w:t>
      </w:r>
      <w:r w:rsidR="00495DAE" w:rsidRPr="00F04E83">
        <w:rPr>
          <w:rFonts w:asciiTheme="minorHAnsi" w:hAnsiTheme="minorHAnsi" w:cstheme="minorHAnsi"/>
          <w:sz w:val="24"/>
          <w:szCs w:val="24"/>
        </w:rPr>
        <w:t xml:space="preserve">, including </w:t>
      </w:r>
      <w:r w:rsidR="00A41F1D" w:rsidRPr="00F04E83">
        <w:rPr>
          <w:rFonts w:asciiTheme="minorHAnsi" w:hAnsiTheme="minorHAnsi" w:cstheme="minorHAnsi"/>
          <w:sz w:val="24"/>
          <w:szCs w:val="24"/>
        </w:rPr>
        <w:t xml:space="preserve">former </w:t>
      </w:r>
      <w:r w:rsidR="00495DAE" w:rsidRPr="00F04E83">
        <w:rPr>
          <w:rFonts w:asciiTheme="minorHAnsi" w:hAnsiTheme="minorHAnsi" w:cstheme="minorHAnsi"/>
          <w:sz w:val="24"/>
          <w:szCs w:val="24"/>
        </w:rPr>
        <w:t xml:space="preserve">President Donald Trump, have </w:t>
      </w:r>
      <w:r w:rsidR="00A41F1D" w:rsidRPr="00F04E83">
        <w:rPr>
          <w:rFonts w:asciiTheme="minorHAnsi" w:hAnsiTheme="minorHAnsi" w:cstheme="minorHAnsi"/>
          <w:sz w:val="24"/>
          <w:szCs w:val="24"/>
        </w:rPr>
        <w:t>previously</w:t>
      </w:r>
      <w:r w:rsidR="00495DAE" w:rsidRPr="00F04E83">
        <w:rPr>
          <w:rFonts w:asciiTheme="minorHAnsi" w:hAnsiTheme="minorHAnsi" w:cstheme="minorHAnsi"/>
          <w:sz w:val="24"/>
          <w:szCs w:val="24"/>
        </w:rPr>
        <w:t xml:space="preserve"> described social justice protest</w:t>
      </w:r>
      <w:r w:rsidR="00A41F1D" w:rsidRPr="00F04E83">
        <w:rPr>
          <w:rFonts w:asciiTheme="minorHAnsi" w:hAnsiTheme="minorHAnsi" w:cstheme="minorHAnsi"/>
          <w:sz w:val="24"/>
          <w:szCs w:val="24"/>
        </w:rPr>
        <w:t>er</w:t>
      </w:r>
      <w:r w:rsidR="00495DAE" w:rsidRPr="00F04E83">
        <w:rPr>
          <w:rFonts w:asciiTheme="minorHAnsi" w:hAnsiTheme="minorHAnsi" w:cstheme="minorHAnsi"/>
          <w:sz w:val="24"/>
          <w:szCs w:val="24"/>
        </w:rPr>
        <w:t xml:space="preserve">s, including some inspired </w:t>
      </w:r>
      <w:r w:rsidR="008312A5" w:rsidRPr="00F04E83">
        <w:rPr>
          <w:rFonts w:asciiTheme="minorHAnsi" w:hAnsiTheme="minorHAnsi" w:cstheme="minorHAnsi"/>
          <w:sz w:val="24"/>
          <w:szCs w:val="24"/>
        </w:rPr>
        <w:t>by</w:t>
      </w:r>
      <w:r w:rsidR="00495DAE" w:rsidRPr="00F04E83">
        <w:rPr>
          <w:rFonts w:asciiTheme="minorHAnsi" w:hAnsiTheme="minorHAnsi" w:cstheme="minorHAnsi"/>
          <w:sz w:val="24"/>
          <w:szCs w:val="24"/>
        </w:rPr>
        <w:t xml:space="preserve"> the </w:t>
      </w:r>
      <w:r w:rsidR="009A16BE" w:rsidRPr="00F04E83">
        <w:rPr>
          <w:rFonts w:asciiTheme="minorHAnsi" w:hAnsiTheme="minorHAnsi" w:cstheme="minorHAnsi"/>
          <w:sz w:val="24"/>
          <w:szCs w:val="24"/>
        </w:rPr>
        <w:t>Black Lives Matter movement</w:t>
      </w:r>
      <w:r w:rsidR="00A41F1D" w:rsidRPr="00F04E83">
        <w:rPr>
          <w:rFonts w:asciiTheme="minorHAnsi" w:hAnsiTheme="minorHAnsi" w:cstheme="minorHAnsi"/>
          <w:sz w:val="24"/>
          <w:szCs w:val="24"/>
        </w:rPr>
        <w:t xml:space="preserve">, as terrorists, it </w:t>
      </w:r>
      <w:r w:rsidR="000B3591">
        <w:rPr>
          <w:rFonts w:asciiTheme="minorHAnsi" w:hAnsiTheme="minorHAnsi" w:cstheme="minorHAnsi"/>
          <w:sz w:val="24"/>
          <w:szCs w:val="24"/>
        </w:rPr>
        <w:t>is easy</w:t>
      </w:r>
      <w:r w:rsidR="00A41F1D" w:rsidRPr="00F04E83">
        <w:rPr>
          <w:rFonts w:asciiTheme="minorHAnsi" w:hAnsiTheme="minorHAnsi" w:cstheme="minorHAnsi"/>
          <w:sz w:val="24"/>
          <w:szCs w:val="24"/>
        </w:rPr>
        <w:t xml:space="preserve"> to envisage how similar powers might be abused in the current </w:t>
      </w:r>
      <w:r w:rsidR="004E155C" w:rsidRPr="00F04E83">
        <w:rPr>
          <w:rFonts w:asciiTheme="minorHAnsi" w:hAnsiTheme="minorHAnsi" w:cstheme="minorHAnsi"/>
          <w:sz w:val="24"/>
          <w:szCs w:val="24"/>
        </w:rPr>
        <w:t xml:space="preserve">American </w:t>
      </w:r>
      <w:r w:rsidR="00A41F1D" w:rsidRPr="00F04E83">
        <w:rPr>
          <w:rFonts w:asciiTheme="minorHAnsi" w:hAnsiTheme="minorHAnsi" w:cstheme="minorHAnsi"/>
          <w:sz w:val="24"/>
          <w:szCs w:val="24"/>
        </w:rPr>
        <w:t>political environment.</w:t>
      </w:r>
      <w:r w:rsidR="009A16BE" w:rsidRPr="00F04E83">
        <w:rPr>
          <w:rStyle w:val="FootnoteReference"/>
          <w:rFonts w:asciiTheme="minorHAnsi" w:hAnsiTheme="minorHAnsi" w:cstheme="minorHAnsi"/>
          <w:sz w:val="24"/>
          <w:szCs w:val="24"/>
        </w:rPr>
        <w:footnoteReference w:id="97"/>
      </w:r>
      <w:r w:rsidR="009A16BE" w:rsidRPr="009A0105">
        <w:rPr>
          <w:rFonts w:asciiTheme="minorHAnsi" w:hAnsiTheme="minorHAnsi" w:cstheme="minorHAnsi"/>
          <w:sz w:val="24"/>
          <w:szCs w:val="24"/>
        </w:rPr>
        <w:t xml:space="preserve"> </w:t>
      </w:r>
    </w:p>
    <w:p w14:paraId="2AB41820" w14:textId="24C74A40" w:rsidR="00F24778" w:rsidRPr="00F11CFE" w:rsidRDefault="00F24778" w:rsidP="00E817F8">
      <w:pPr>
        <w:jc w:val="both"/>
        <w:rPr>
          <w:rFonts w:asciiTheme="minorHAnsi" w:hAnsiTheme="minorHAnsi" w:cstheme="minorHAnsi"/>
          <w:bdr w:val="none" w:sz="0" w:space="0" w:color="auto" w:frame="1"/>
        </w:rPr>
      </w:pPr>
    </w:p>
    <w:p w14:paraId="4D78F23C" w14:textId="369D2ED1" w:rsidR="00926CDB" w:rsidRPr="00F11CFE" w:rsidRDefault="00A60209" w:rsidP="00F11CFE">
      <w:pPr>
        <w:jc w:val="both"/>
        <w:rPr>
          <w:rFonts w:asciiTheme="minorHAnsi" w:hAnsiTheme="minorHAnsi" w:cstheme="minorHAnsi"/>
          <w:color w:val="000000" w:themeColor="text1"/>
        </w:rPr>
      </w:pPr>
      <w:r>
        <w:rPr>
          <w:rFonts w:asciiTheme="minorHAnsi" w:hAnsiTheme="minorHAnsi" w:cstheme="minorHAnsi"/>
          <w:bdr w:val="none" w:sz="0" w:space="0" w:color="auto" w:frame="1"/>
        </w:rPr>
        <w:lastRenderedPageBreak/>
        <w:t>Finally, i</w:t>
      </w:r>
      <w:r w:rsidR="000A545A" w:rsidRPr="00F11CFE">
        <w:rPr>
          <w:rFonts w:asciiTheme="minorHAnsi" w:hAnsiTheme="minorHAnsi" w:cstheme="minorHAnsi"/>
          <w:bdr w:val="none" w:sz="0" w:space="0" w:color="auto" w:frame="1"/>
        </w:rPr>
        <w:t>t i</w:t>
      </w:r>
      <w:r w:rsidR="00A57AC6" w:rsidRPr="00F11CFE">
        <w:rPr>
          <w:rFonts w:asciiTheme="minorHAnsi" w:hAnsiTheme="minorHAnsi" w:cstheme="minorHAnsi"/>
          <w:bdr w:val="none" w:sz="0" w:space="0" w:color="auto" w:frame="1"/>
        </w:rPr>
        <w:t>s worth remembering that Preven</w:t>
      </w:r>
      <w:r w:rsidR="000A545A" w:rsidRPr="00F11CFE">
        <w:rPr>
          <w:rFonts w:asciiTheme="minorHAnsi" w:hAnsiTheme="minorHAnsi" w:cstheme="minorHAnsi"/>
          <w:bdr w:val="none" w:sz="0" w:space="0" w:color="auto" w:frame="1"/>
        </w:rPr>
        <w:t>t</w:t>
      </w:r>
      <w:r w:rsidR="00A57AC6" w:rsidRPr="00F11CFE">
        <w:rPr>
          <w:rFonts w:asciiTheme="minorHAnsi" w:hAnsiTheme="minorHAnsi" w:cstheme="minorHAnsi"/>
          <w:bdr w:val="none" w:sz="0" w:space="0" w:color="auto" w:frame="1"/>
        </w:rPr>
        <w:t xml:space="preserve"> was meant to be </w:t>
      </w:r>
      <w:r w:rsidR="0028783F" w:rsidRPr="00F11CFE">
        <w:rPr>
          <w:rFonts w:asciiTheme="minorHAnsi" w:hAnsiTheme="minorHAnsi" w:cstheme="minorHAnsi"/>
          <w:bdr w:val="none" w:sz="0" w:space="0" w:color="auto" w:frame="1"/>
        </w:rPr>
        <w:t>“</w:t>
      </w:r>
      <w:r w:rsidR="00A57AC6" w:rsidRPr="00F11CFE">
        <w:rPr>
          <w:rFonts w:asciiTheme="minorHAnsi" w:hAnsiTheme="minorHAnsi" w:cstheme="minorHAnsi"/>
          <w:bdr w:val="none" w:sz="0" w:space="0" w:color="auto" w:frame="1"/>
        </w:rPr>
        <w:t>quite an enlightened and progressive idea</w:t>
      </w:r>
      <w:r w:rsidR="009A0105" w:rsidRPr="00F11CFE">
        <w:rPr>
          <w:rFonts w:asciiTheme="minorHAnsi" w:hAnsiTheme="minorHAnsi" w:cstheme="minorHAnsi"/>
          <w:bdr w:val="none" w:sz="0" w:space="0" w:color="auto" w:frame="1"/>
        </w:rPr>
        <w:t>.</w:t>
      </w:r>
      <w:r w:rsidR="00F04E83" w:rsidRPr="00F11CFE">
        <w:rPr>
          <w:rFonts w:asciiTheme="minorHAnsi" w:hAnsiTheme="minorHAnsi" w:cstheme="minorHAnsi"/>
          <w:bdr w:val="none" w:sz="0" w:space="0" w:color="auto" w:frame="1"/>
        </w:rPr>
        <w:t>”</w:t>
      </w:r>
      <w:r w:rsidR="00A57AC6" w:rsidRPr="00F11CFE">
        <w:rPr>
          <w:rStyle w:val="FootnoteReference"/>
          <w:rFonts w:asciiTheme="minorHAnsi" w:hAnsiTheme="minorHAnsi" w:cstheme="minorHAnsi"/>
          <w:bdr w:val="none" w:sz="0" w:space="0" w:color="auto" w:frame="1"/>
        </w:rPr>
        <w:footnoteReference w:id="98"/>
      </w:r>
      <w:r w:rsidR="00462CE8" w:rsidRPr="00F11CFE">
        <w:rPr>
          <w:rFonts w:asciiTheme="minorHAnsi" w:hAnsiTheme="minorHAnsi" w:cstheme="minorHAnsi"/>
          <w:bdr w:val="none" w:sz="0" w:space="0" w:color="auto" w:frame="1"/>
        </w:rPr>
        <w:t xml:space="preserve"> In conception</w:t>
      </w:r>
      <w:r w:rsidR="000A545A" w:rsidRPr="00F11CFE">
        <w:rPr>
          <w:rFonts w:asciiTheme="minorHAnsi" w:hAnsiTheme="minorHAnsi" w:cstheme="minorHAnsi"/>
          <w:bdr w:val="none" w:sz="0" w:space="0" w:color="auto" w:frame="1"/>
        </w:rPr>
        <w:t>,</w:t>
      </w:r>
      <w:r w:rsidR="00462CE8" w:rsidRPr="00F11CFE">
        <w:rPr>
          <w:rFonts w:asciiTheme="minorHAnsi" w:hAnsiTheme="minorHAnsi" w:cstheme="minorHAnsi"/>
          <w:bdr w:val="none" w:sz="0" w:space="0" w:color="auto" w:frame="1"/>
        </w:rPr>
        <w:t xml:space="preserve"> Prevent was intended to be a collaborative venture</w:t>
      </w:r>
      <w:r w:rsidR="000A545A" w:rsidRPr="00F11CFE">
        <w:rPr>
          <w:rFonts w:asciiTheme="minorHAnsi" w:hAnsiTheme="minorHAnsi" w:cstheme="minorHAnsi"/>
          <w:bdr w:val="none" w:sz="0" w:space="0" w:color="auto" w:frame="1"/>
        </w:rPr>
        <w:t xml:space="preserve"> between the state and at-risk communities</w:t>
      </w:r>
      <w:r w:rsidR="00462CE8" w:rsidRPr="00F11CFE">
        <w:rPr>
          <w:rFonts w:asciiTheme="minorHAnsi" w:hAnsiTheme="minorHAnsi" w:cstheme="minorHAnsi"/>
          <w:bdr w:val="none" w:sz="0" w:space="0" w:color="auto" w:frame="1"/>
        </w:rPr>
        <w:t xml:space="preserve">, </w:t>
      </w:r>
      <w:r w:rsidR="002C2E78" w:rsidRPr="00F11CFE">
        <w:rPr>
          <w:rFonts w:asciiTheme="minorHAnsi" w:hAnsiTheme="minorHAnsi" w:cstheme="minorHAnsi"/>
          <w:bdr w:val="none" w:sz="0" w:space="0" w:color="auto" w:frame="1"/>
        </w:rPr>
        <w:t xml:space="preserve">a ‘soft’ alternative to police action, </w:t>
      </w:r>
      <w:r w:rsidR="00462CE8" w:rsidRPr="00F11CFE">
        <w:rPr>
          <w:rFonts w:asciiTheme="minorHAnsi" w:hAnsiTheme="minorHAnsi" w:cstheme="minorHAnsi"/>
          <w:bdr w:val="none" w:sz="0" w:space="0" w:color="auto" w:frame="1"/>
        </w:rPr>
        <w:t xml:space="preserve">but in execution it became, albeit unintentionally, something </w:t>
      </w:r>
      <w:r w:rsidR="000A545A" w:rsidRPr="00F11CFE">
        <w:rPr>
          <w:rFonts w:asciiTheme="minorHAnsi" w:hAnsiTheme="minorHAnsi" w:cstheme="minorHAnsi"/>
          <w:bdr w:val="none" w:sz="0" w:space="0" w:color="auto" w:frame="1"/>
        </w:rPr>
        <w:t xml:space="preserve">perceived as being </w:t>
      </w:r>
      <w:r w:rsidR="00462CE8" w:rsidRPr="00F11CFE">
        <w:rPr>
          <w:rFonts w:asciiTheme="minorHAnsi" w:hAnsiTheme="minorHAnsi" w:cstheme="minorHAnsi"/>
          <w:bdr w:val="none" w:sz="0" w:space="0" w:color="auto" w:frame="1"/>
        </w:rPr>
        <w:t>much more coercive.</w:t>
      </w:r>
      <w:r w:rsidR="002F33EB" w:rsidRPr="00F11CFE">
        <w:rPr>
          <w:rStyle w:val="FootnoteReference"/>
          <w:rFonts w:asciiTheme="minorHAnsi" w:hAnsiTheme="minorHAnsi" w:cstheme="minorHAnsi"/>
          <w:color w:val="000000" w:themeColor="text1"/>
        </w:rPr>
        <w:footnoteReference w:id="99"/>
      </w:r>
      <w:r w:rsidR="00792713" w:rsidRPr="00F11CFE">
        <w:rPr>
          <w:rFonts w:asciiTheme="minorHAnsi" w:hAnsiTheme="minorHAnsi" w:cstheme="minorHAnsi"/>
          <w:bdr w:val="none" w:sz="0" w:space="0" w:color="auto" w:frame="1"/>
        </w:rPr>
        <w:t xml:space="preserve"> </w:t>
      </w:r>
      <w:r w:rsidR="005E5ECB">
        <w:rPr>
          <w:rFonts w:asciiTheme="minorHAnsi" w:hAnsiTheme="minorHAnsi" w:cstheme="minorHAnsi"/>
          <w:bdr w:val="none" w:sz="0" w:space="0" w:color="auto" w:frame="1"/>
        </w:rPr>
        <w:t>Unfortunately, i</w:t>
      </w:r>
      <w:r w:rsidR="00F11CFE">
        <w:rPr>
          <w:rFonts w:asciiTheme="minorHAnsi" w:hAnsiTheme="minorHAnsi" w:cstheme="minorHAnsi"/>
          <w:bdr w:val="none" w:sz="0" w:space="0" w:color="auto" w:frame="1"/>
        </w:rPr>
        <w:t xml:space="preserve">n the words of </w:t>
      </w:r>
      <w:r w:rsidR="00F11CFE" w:rsidRPr="00F11CFE">
        <w:rPr>
          <w:rFonts w:asciiTheme="minorHAnsi" w:hAnsiTheme="minorHAnsi" w:cstheme="minorHAnsi"/>
          <w:color w:val="000000" w:themeColor="text1"/>
        </w:rPr>
        <w:t xml:space="preserve">Arun </w:t>
      </w:r>
      <w:proofErr w:type="spellStart"/>
      <w:r w:rsidR="00F11CFE" w:rsidRPr="00F11CFE">
        <w:rPr>
          <w:rFonts w:asciiTheme="minorHAnsi" w:hAnsiTheme="minorHAnsi" w:cstheme="minorHAnsi"/>
          <w:color w:val="000000" w:themeColor="text1"/>
        </w:rPr>
        <w:t>Kundnani</w:t>
      </w:r>
      <w:proofErr w:type="spellEnd"/>
      <w:r w:rsidR="005E5ECB">
        <w:rPr>
          <w:rFonts w:asciiTheme="minorHAnsi" w:hAnsiTheme="minorHAnsi" w:cstheme="minorHAnsi"/>
          <w:color w:val="000000" w:themeColor="text1"/>
        </w:rPr>
        <w:t>,</w:t>
      </w:r>
      <w:r w:rsidR="00F11CFE" w:rsidRPr="00F11CFE">
        <w:rPr>
          <w:rFonts w:asciiTheme="minorHAnsi" w:hAnsiTheme="minorHAnsi" w:cstheme="minorHAnsi"/>
          <w:color w:val="000000" w:themeColor="text1"/>
        </w:rPr>
        <w:t xml:space="preserve"> </w:t>
      </w:r>
      <w:r w:rsidR="005E5ECB">
        <w:rPr>
          <w:rFonts w:asciiTheme="minorHAnsi" w:hAnsiTheme="minorHAnsi" w:cstheme="minorHAnsi"/>
          <w:color w:val="000000" w:themeColor="text1"/>
        </w:rPr>
        <w:t>i</w:t>
      </w:r>
      <w:r w:rsidR="00F11CFE" w:rsidRPr="00F11CFE">
        <w:rPr>
          <w:rFonts w:asciiTheme="minorHAnsi" w:hAnsiTheme="minorHAnsi" w:cstheme="minorHAnsi"/>
          <w:color w:val="000000" w:themeColor="text1"/>
        </w:rPr>
        <w:t xml:space="preserve">f the objective of Prevent </w:t>
      </w:r>
      <w:r w:rsidR="00887310">
        <w:rPr>
          <w:rFonts w:asciiTheme="minorHAnsi" w:hAnsiTheme="minorHAnsi" w:cstheme="minorHAnsi"/>
          <w:color w:val="000000" w:themeColor="text1"/>
        </w:rPr>
        <w:t>was</w:t>
      </w:r>
      <w:r w:rsidR="00F11CFE" w:rsidRPr="00F11CFE">
        <w:rPr>
          <w:rFonts w:asciiTheme="minorHAnsi" w:hAnsiTheme="minorHAnsi" w:cstheme="minorHAnsi"/>
          <w:color w:val="000000" w:themeColor="text1"/>
        </w:rPr>
        <w:t xml:space="preserve"> to win the trust of Muslims in Britain, </w:t>
      </w:r>
      <w:r w:rsidR="00887310">
        <w:rPr>
          <w:rFonts w:asciiTheme="minorHAnsi" w:hAnsiTheme="minorHAnsi" w:cstheme="minorHAnsi"/>
          <w:color w:val="000000" w:themeColor="text1"/>
        </w:rPr>
        <w:t>“</w:t>
      </w:r>
      <w:r w:rsidR="00F11CFE" w:rsidRPr="00F11CFE">
        <w:rPr>
          <w:rFonts w:asciiTheme="minorHAnsi" w:hAnsiTheme="minorHAnsi" w:cstheme="minorHAnsi"/>
          <w:color w:val="000000" w:themeColor="text1"/>
        </w:rPr>
        <w:t>its failure cannot be overstated.”</w:t>
      </w:r>
      <w:r w:rsidR="00F11CFE" w:rsidRPr="00F11CFE">
        <w:rPr>
          <w:rStyle w:val="FootnoteReference"/>
          <w:rFonts w:asciiTheme="minorHAnsi" w:hAnsiTheme="minorHAnsi" w:cstheme="minorHAnsi"/>
          <w:color w:val="000000" w:themeColor="text1"/>
        </w:rPr>
        <w:footnoteReference w:id="100"/>
      </w:r>
      <w:r w:rsidR="00F11CFE">
        <w:rPr>
          <w:rFonts w:asciiTheme="minorHAnsi" w:hAnsiTheme="minorHAnsi" w:cstheme="minorHAnsi"/>
          <w:color w:val="000000" w:themeColor="text1"/>
        </w:rPr>
        <w:t xml:space="preserve"> </w:t>
      </w:r>
      <w:r w:rsidR="00792713" w:rsidRPr="00F11CFE">
        <w:rPr>
          <w:rFonts w:asciiTheme="minorHAnsi" w:hAnsiTheme="minorHAnsi" w:cstheme="minorHAnsi"/>
          <w:bdr w:val="none" w:sz="0" w:space="0" w:color="auto" w:frame="1"/>
        </w:rPr>
        <w:t>The bottom</w:t>
      </w:r>
      <w:r w:rsidR="003576BB" w:rsidRPr="00F11CFE">
        <w:rPr>
          <w:rFonts w:asciiTheme="minorHAnsi" w:hAnsiTheme="minorHAnsi" w:cstheme="minorHAnsi"/>
          <w:bdr w:val="none" w:sz="0" w:space="0" w:color="auto" w:frame="1"/>
        </w:rPr>
        <w:t>-</w:t>
      </w:r>
      <w:r w:rsidR="00792713" w:rsidRPr="00F11CFE">
        <w:rPr>
          <w:rFonts w:asciiTheme="minorHAnsi" w:hAnsiTheme="minorHAnsi" w:cstheme="minorHAnsi"/>
          <w:bdr w:val="none" w:sz="0" w:space="0" w:color="auto" w:frame="1"/>
        </w:rPr>
        <w:t xml:space="preserve">line is that the British experience shows that there can be a significant political </w:t>
      </w:r>
      <w:r w:rsidR="004F71A7">
        <w:rPr>
          <w:rFonts w:asciiTheme="minorHAnsi" w:hAnsiTheme="minorHAnsi" w:cstheme="minorHAnsi"/>
          <w:bdr w:val="none" w:sz="0" w:space="0" w:color="auto" w:frame="1"/>
        </w:rPr>
        <w:t xml:space="preserve">and societal </w:t>
      </w:r>
      <w:r w:rsidR="00792713" w:rsidRPr="00F11CFE">
        <w:rPr>
          <w:rFonts w:asciiTheme="minorHAnsi" w:hAnsiTheme="minorHAnsi" w:cstheme="minorHAnsi"/>
          <w:bdr w:val="none" w:sz="0" w:space="0" w:color="auto" w:frame="1"/>
        </w:rPr>
        <w:t xml:space="preserve">price to be paid for addressing the social challenge posed by youthful flirtations with violent extremism exclusively through a security lens. </w:t>
      </w:r>
      <w:r w:rsidR="000A545A" w:rsidRPr="00F11CFE">
        <w:rPr>
          <w:rFonts w:asciiTheme="minorHAnsi" w:hAnsiTheme="minorHAnsi" w:cstheme="minorHAnsi"/>
          <w:bdr w:val="none" w:sz="0" w:space="0" w:color="auto" w:frame="1"/>
        </w:rPr>
        <w:t>Other pre-existing approaches anchored in welfare and educational service providers may actually prove to be equally</w:t>
      </w:r>
      <w:r w:rsidR="003576BB" w:rsidRPr="00F11CFE">
        <w:rPr>
          <w:rFonts w:asciiTheme="minorHAnsi" w:hAnsiTheme="minorHAnsi" w:cstheme="minorHAnsi"/>
          <w:bdr w:val="none" w:sz="0" w:space="0" w:color="auto" w:frame="1"/>
        </w:rPr>
        <w:t>,</w:t>
      </w:r>
      <w:r w:rsidR="000A545A" w:rsidRPr="00F11CFE">
        <w:rPr>
          <w:rFonts w:asciiTheme="minorHAnsi" w:hAnsiTheme="minorHAnsi" w:cstheme="minorHAnsi"/>
          <w:bdr w:val="none" w:sz="0" w:space="0" w:color="auto" w:frame="1"/>
        </w:rPr>
        <w:t xml:space="preserve"> if not </w:t>
      </w:r>
      <w:r w:rsidR="003576BB" w:rsidRPr="00F11CFE">
        <w:rPr>
          <w:rFonts w:asciiTheme="minorHAnsi" w:hAnsiTheme="minorHAnsi" w:cstheme="minorHAnsi"/>
          <w:bdr w:val="none" w:sz="0" w:space="0" w:color="auto" w:frame="1"/>
        </w:rPr>
        <w:t>more</w:t>
      </w:r>
      <w:r w:rsidR="00887310">
        <w:rPr>
          <w:rFonts w:asciiTheme="minorHAnsi" w:hAnsiTheme="minorHAnsi" w:cstheme="minorHAnsi"/>
          <w:bdr w:val="none" w:sz="0" w:space="0" w:color="auto" w:frame="1"/>
        </w:rPr>
        <w:t>,</w:t>
      </w:r>
      <w:r w:rsidR="003576BB" w:rsidRPr="00F11CFE">
        <w:rPr>
          <w:rFonts w:asciiTheme="minorHAnsi" w:hAnsiTheme="minorHAnsi" w:cstheme="minorHAnsi"/>
          <w:bdr w:val="none" w:sz="0" w:space="0" w:color="auto" w:frame="1"/>
        </w:rPr>
        <w:t xml:space="preserve"> </w:t>
      </w:r>
      <w:r w:rsidR="000A545A" w:rsidRPr="00F11CFE">
        <w:rPr>
          <w:rFonts w:asciiTheme="minorHAnsi" w:hAnsiTheme="minorHAnsi" w:cstheme="minorHAnsi"/>
          <w:bdr w:val="none" w:sz="0" w:space="0" w:color="auto" w:frame="1"/>
        </w:rPr>
        <w:t xml:space="preserve">effective, with fewer downsides. </w:t>
      </w:r>
      <w:r w:rsidR="00F04E83" w:rsidRPr="00F11CFE">
        <w:rPr>
          <w:rFonts w:asciiTheme="minorHAnsi" w:hAnsiTheme="minorHAnsi" w:cstheme="minorHAnsi"/>
          <w:bdr w:val="none" w:sz="0" w:space="0" w:color="auto" w:frame="1"/>
        </w:rPr>
        <w:t xml:space="preserve">In addition, policies enacted in willful blindness </w:t>
      </w:r>
      <w:r w:rsidR="0028783F" w:rsidRPr="00F11CFE">
        <w:rPr>
          <w:rFonts w:asciiTheme="minorHAnsi" w:hAnsiTheme="minorHAnsi" w:cstheme="minorHAnsi"/>
          <w:bdr w:val="none" w:sz="0" w:space="0" w:color="auto" w:frame="1"/>
        </w:rPr>
        <w:t>of</w:t>
      </w:r>
      <w:r w:rsidR="00F04E83" w:rsidRPr="00F11CFE">
        <w:rPr>
          <w:rFonts w:asciiTheme="minorHAnsi" w:hAnsiTheme="minorHAnsi" w:cstheme="minorHAnsi"/>
          <w:bdr w:val="none" w:sz="0" w:space="0" w:color="auto" w:frame="1"/>
        </w:rPr>
        <w:t xml:space="preserve"> some of the structural factors that </w:t>
      </w:r>
      <w:r w:rsidR="00D27D20" w:rsidRPr="00F11CFE">
        <w:rPr>
          <w:rFonts w:asciiTheme="minorHAnsi" w:hAnsiTheme="minorHAnsi" w:cstheme="minorHAnsi"/>
          <w:bdr w:val="none" w:sz="0" w:space="0" w:color="auto" w:frame="1"/>
        </w:rPr>
        <w:t xml:space="preserve">can </w:t>
      </w:r>
      <w:r w:rsidR="00F04E83" w:rsidRPr="00F11CFE">
        <w:rPr>
          <w:rFonts w:asciiTheme="minorHAnsi" w:hAnsiTheme="minorHAnsi" w:cstheme="minorHAnsi"/>
          <w:bdr w:val="none" w:sz="0" w:space="0" w:color="auto" w:frame="1"/>
        </w:rPr>
        <w:t xml:space="preserve">also </w:t>
      </w:r>
      <w:r w:rsidR="00D27D20" w:rsidRPr="00F11CFE">
        <w:rPr>
          <w:rFonts w:asciiTheme="minorHAnsi" w:hAnsiTheme="minorHAnsi" w:cstheme="minorHAnsi"/>
          <w:bdr w:val="none" w:sz="0" w:space="0" w:color="auto" w:frame="1"/>
        </w:rPr>
        <w:t xml:space="preserve">serve as </w:t>
      </w:r>
      <w:r w:rsidR="005E5ECB">
        <w:rPr>
          <w:rFonts w:asciiTheme="minorHAnsi" w:hAnsiTheme="minorHAnsi" w:cstheme="minorHAnsi"/>
          <w:bdr w:val="none" w:sz="0" w:space="0" w:color="auto" w:frame="1"/>
        </w:rPr>
        <w:t xml:space="preserve">significant </w:t>
      </w:r>
      <w:r w:rsidR="00D27D20" w:rsidRPr="00F11CFE">
        <w:rPr>
          <w:rFonts w:asciiTheme="minorHAnsi" w:hAnsiTheme="minorHAnsi" w:cstheme="minorHAnsi"/>
          <w:bdr w:val="none" w:sz="0" w:space="0" w:color="auto" w:frame="1"/>
        </w:rPr>
        <w:t xml:space="preserve">drivers of violent extremism, especially those grounded in historical injustice or contemporary prejudices, only serve to reinforce the significance of those drivers and credibility of </w:t>
      </w:r>
      <w:r w:rsidR="002C2E78" w:rsidRPr="00F11CFE">
        <w:rPr>
          <w:rFonts w:asciiTheme="minorHAnsi" w:hAnsiTheme="minorHAnsi" w:cstheme="minorHAnsi"/>
          <w:bdr w:val="none" w:sz="0" w:space="0" w:color="auto" w:frame="1"/>
        </w:rPr>
        <w:t xml:space="preserve">violent </w:t>
      </w:r>
      <w:r w:rsidR="00D27D20" w:rsidRPr="00F11CFE">
        <w:rPr>
          <w:rFonts w:asciiTheme="minorHAnsi" w:hAnsiTheme="minorHAnsi" w:cstheme="minorHAnsi"/>
          <w:bdr w:val="none" w:sz="0" w:space="0" w:color="auto" w:frame="1"/>
        </w:rPr>
        <w:t>extremist narratives.</w:t>
      </w:r>
      <w:r w:rsidR="00F04E83" w:rsidRPr="00F11CFE">
        <w:rPr>
          <w:rFonts w:asciiTheme="minorHAnsi" w:hAnsiTheme="minorHAnsi" w:cstheme="minorHAnsi"/>
          <w:bdr w:val="none" w:sz="0" w:space="0" w:color="auto" w:frame="1"/>
        </w:rPr>
        <w:t xml:space="preserve">  </w:t>
      </w:r>
    </w:p>
    <w:p w14:paraId="00874E9C" w14:textId="5F5C7F17" w:rsidR="00926CDB" w:rsidRPr="00F11CFE" w:rsidRDefault="00926CDB" w:rsidP="00A57AC6">
      <w:pPr>
        <w:jc w:val="both"/>
        <w:rPr>
          <w:rFonts w:asciiTheme="minorHAnsi" w:hAnsiTheme="minorHAnsi" w:cstheme="minorHAnsi"/>
        </w:rPr>
      </w:pPr>
    </w:p>
    <w:p w14:paraId="36E047D1" w14:textId="56B8BC3F" w:rsidR="009E2CC2" w:rsidRPr="004F71A7" w:rsidRDefault="00451D6F" w:rsidP="004F71A7">
      <w:pPr>
        <w:jc w:val="both"/>
        <w:rPr>
          <w:rFonts w:asciiTheme="minorHAnsi" w:hAnsiTheme="minorHAnsi" w:cstheme="minorHAnsi"/>
        </w:rPr>
      </w:pPr>
      <w:r>
        <w:rPr>
          <w:rFonts w:asciiTheme="minorHAnsi" w:hAnsiTheme="minorHAnsi" w:cstheme="minorHAnsi"/>
        </w:rPr>
        <w:t xml:space="preserve">It is hard to know what course of action to suggest to American policymakers </w:t>
      </w:r>
      <w:r w:rsidR="0028783F">
        <w:rPr>
          <w:rFonts w:asciiTheme="minorHAnsi" w:hAnsiTheme="minorHAnsi" w:cstheme="minorHAnsi"/>
        </w:rPr>
        <w:t xml:space="preserve">at this juncture </w:t>
      </w:r>
      <w:r>
        <w:rPr>
          <w:rFonts w:asciiTheme="minorHAnsi" w:hAnsiTheme="minorHAnsi" w:cstheme="minorHAnsi"/>
        </w:rPr>
        <w:t>that won’t end up making an already volatile situation worse</w:t>
      </w:r>
      <w:r w:rsidR="006E329B">
        <w:rPr>
          <w:rFonts w:asciiTheme="minorHAnsi" w:hAnsiTheme="minorHAnsi" w:cstheme="minorHAnsi"/>
        </w:rPr>
        <w:t>, and we should acknowledge that XRW violence is already a far greater threat in the US than it has ever been in the United Kingdom</w:t>
      </w:r>
      <w:r>
        <w:rPr>
          <w:rFonts w:asciiTheme="minorHAnsi" w:hAnsiTheme="minorHAnsi" w:cstheme="minorHAnsi"/>
        </w:rPr>
        <w:t>.</w:t>
      </w:r>
      <w:r w:rsidR="00D27D20">
        <w:rPr>
          <w:rFonts w:asciiTheme="minorHAnsi" w:hAnsiTheme="minorHAnsi" w:cstheme="minorHAnsi"/>
        </w:rPr>
        <w:t xml:space="preserve"> In such circumstances, I am always drawn to the clinical injunction</w:t>
      </w:r>
      <w:r w:rsidR="00EA6867">
        <w:rPr>
          <w:rFonts w:asciiTheme="minorHAnsi" w:hAnsiTheme="minorHAnsi" w:cstheme="minorHAnsi"/>
        </w:rPr>
        <w:t>:</w:t>
      </w:r>
      <w:r w:rsidR="00D27D20">
        <w:rPr>
          <w:rFonts w:asciiTheme="minorHAnsi" w:hAnsiTheme="minorHAnsi" w:cstheme="minorHAnsi"/>
        </w:rPr>
        <w:t xml:space="preserve"> “</w:t>
      </w:r>
      <w:r w:rsidR="00EA6867">
        <w:rPr>
          <w:rFonts w:asciiTheme="minorHAnsi" w:hAnsiTheme="minorHAnsi" w:cstheme="minorHAnsi"/>
        </w:rPr>
        <w:t>F</w:t>
      </w:r>
      <w:r w:rsidR="00D27D20">
        <w:rPr>
          <w:rFonts w:asciiTheme="minorHAnsi" w:hAnsiTheme="minorHAnsi" w:cstheme="minorHAnsi"/>
        </w:rPr>
        <w:t>irst, do no harm.” There are PVE interventions</w:t>
      </w:r>
      <w:r w:rsidR="0043132F">
        <w:rPr>
          <w:rFonts w:asciiTheme="minorHAnsi" w:hAnsiTheme="minorHAnsi" w:cstheme="minorHAnsi"/>
        </w:rPr>
        <w:t>, wh</w:t>
      </w:r>
      <w:r w:rsidR="00BB2383">
        <w:rPr>
          <w:rFonts w:asciiTheme="minorHAnsi" w:hAnsiTheme="minorHAnsi" w:cstheme="minorHAnsi"/>
        </w:rPr>
        <w:t>i</w:t>
      </w:r>
      <w:r w:rsidR="0043132F">
        <w:rPr>
          <w:rFonts w:asciiTheme="minorHAnsi" w:hAnsiTheme="minorHAnsi" w:cstheme="minorHAnsi"/>
        </w:rPr>
        <w:t>ch I have described above,</w:t>
      </w:r>
      <w:r w:rsidR="00D27D20">
        <w:rPr>
          <w:rFonts w:asciiTheme="minorHAnsi" w:hAnsiTheme="minorHAnsi" w:cstheme="minorHAnsi"/>
        </w:rPr>
        <w:t xml:space="preserve"> that are</w:t>
      </w:r>
      <w:r w:rsidR="0043132F">
        <w:rPr>
          <w:rFonts w:asciiTheme="minorHAnsi" w:hAnsiTheme="minorHAnsi" w:cstheme="minorHAnsi"/>
        </w:rPr>
        <w:t xml:space="preserve"> </w:t>
      </w:r>
      <w:r w:rsidR="002C2E78">
        <w:rPr>
          <w:rFonts w:asciiTheme="minorHAnsi" w:hAnsiTheme="minorHAnsi" w:cstheme="minorHAnsi"/>
        </w:rPr>
        <w:t xml:space="preserve">relatively </w:t>
      </w:r>
      <w:r w:rsidR="0043132F">
        <w:rPr>
          <w:rFonts w:asciiTheme="minorHAnsi" w:hAnsiTheme="minorHAnsi" w:cstheme="minorHAnsi"/>
        </w:rPr>
        <w:t>politically uncontentious and</w:t>
      </w:r>
      <w:r w:rsidR="00D27D20">
        <w:rPr>
          <w:rFonts w:asciiTheme="minorHAnsi" w:hAnsiTheme="minorHAnsi" w:cstheme="minorHAnsi"/>
        </w:rPr>
        <w:t xml:space="preserve"> </w:t>
      </w:r>
      <w:r w:rsidR="00BB2383">
        <w:rPr>
          <w:rFonts w:asciiTheme="minorHAnsi" w:hAnsiTheme="minorHAnsi" w:cstheme="minorHAnsi"/>
        </w:rPr>
        <w:t xml:space="preserve">contribute </w:t>
      </w:r>
      <w:r w:rsidR="00D27D20">
        <w:rPr>
          <w:rFonts w:asciiTheme="minorHAnsi" w:hAnsiTheme="minorHAnsi" w:cstheme="minorHAnsi"/>
        </w:rPr>
        <w:t>obvious social goods</w:t>
      </w:r>
      <w:r w:rsidR="005E5ECB">
        <w:rPr>
          <w:rFonts w:asciiTheme="minorHAnsi" w:hAnsiTheme="minorHAnsi" w:cstheme="minorHAnsi"/>
        </w:rPr>
        <w:t xml:space="preserve"> to society</w:t>
      </w:r>
      <w:r w:rsidR="00BB2383">
        <w:rPr>
          <w:rFonts w:asciiTheme="minorHAnsi" w:hAnsiTheme="minorHAnsi" w:cstheme="minorHAnsi"/>
        </w:rPr>
        <w:t>,</w:t>
      </w:r>
      <w:r w:rsidR="00D27D20">
        <w:rPr>
          <w:rFonts w:asciiTheme="minorHAnsi" w:hAnsiTheme="minorHAnsi" w:cstheme="minorHAnsi"/>
        </w:rPr>
        <w:t xml:space="preserve"> and these are worth</w:t>
      </w:r>
      <w:r w:rsidR="00482CF3">
        <w:rPr>
          <w:rFonts w:asciiTheme="minorHAnsi" w:hAnsiTheme="minorHAnsi" w:cstheme="minorHAnsi"/>
        </w:rPr>
        <w:t>y of</w:t>
      </w:r>
      <w:r w:rsidR="00D27D20">
        <w:rPr>
          <w:rFonts w:asciiTheme="minorHAnsi" w:hAnsiTheme="minorHAnsi" w:cstheme="minorHAnsi"/>
        </w:rPr>
        <w:t xml:space="preserve"> government’s attention.</w:t>
      </w:r>
      <w:r w:rsidR="0043132F">
        <w:rPr>
          <w:rFonts w:asciiTheme="minorHAnsi" w:hAnsiTheme="minorHAnsi" w:cstheme="minorHAnsi"/>
        </w:rPr>
        <w:t xml:space="preserve"> </w:t>
      </w:r>
      <w:r w:rsidR="006E329B">
        <w:rPr>
          <w:rFonts w:asciiTheme="minorHAnsi" w:hAnsiTheme="minorHAnsi" w:cstheme="minorHAnsi"/>
        </w:rPr>
        <w:t>Otherwise, t</w:t>
      </w:r>
      <w:r w:rsidR="00BB2383">
        <w:rPr>
          <w:rFonts w:asciiTheme="minorHAnsi" w:hAnsiTheme="minorHAnsi" w:cstheme="minorHAnsi"/>
        </w:rPr>
        <w:t xml:space="preserve">he British experience suggests that securitizing welfare and educational spaces offers little added value </w:t>
      </w:r>
      <w:r w:rsidR="002C2E78">
        <w:rPr>
          <w:rFonts w:asciiTheme="minorHAnsi" w:hAnsiTheme="minorHAnsi" w:cstheme="minorHAnsi"/>
        </w:rPr>
        <w:t>to</w:t>
      </w:r>
      <w:r w:rsidR="00BB2383">
        <w:rPr>
          <w:rFonts w:asciiTheme="minorHAnsi" w:hAnsiTheme="minorHAnsi" w:cstheme="minorHAnsi"/>
        </w:rPr>
        <w:t xml:space="preserve"> ensuring public safety, and may actually do more harm than good. </w:t>
      </w:r>
      <w:r w:rsidR="0043132F">
        <w:rPr>
          <w:rFonts w:asciiTheme="minorHAnsi" w:hAnsiTheme="minorHAnsi" w:cstheme="minorHAnsi"/>
        </w:rPr>
        <w:t>We should also have more faith in our own core values and the values of liberal democracy</w:t>
      </w:r>
      <w:r w:rsidR="006E329B">
        <w:rPr>
          <w:rFonts w:asciiTheme="minorHAnsi" w:hAnsiTheme="minorHAnsi" w:cstheme="minorHAnsi"/>
        </w:rPr>
        <w:t>, but p</w:t>
      </w:r>
      <w:r w:rsidR="00AD0E6A">
        <w:rPr>
          <w:rFonts w:asciiTheme="minorHAnsi" w:hAnsiTheme="minorHAnsi" w:cstheme="minorHAnsi"/>
        </w:rPr>
        <w:t xml:space="preserve">erhaps instead of </w:t>
      </w:r>
      <w:r w:rsidR="005E5ECB">
        <w:rPr>
          <w:rFonts w:asciiTheme="minorHAnsi" w:hAnsiTheme="minorHAnsi" w:cstheme="minorHAnsi"/>
        </w:rPr>
        <w:t xml:space="preserve">seeking to </w:t>
      </w:r>
      <w:r w:rsidR="00AD0E6A">
        <w:rPr>
          <w:rFonts w:asciiTheme="minorHAnsi" w:hAnsiTheme="minorHAnsi" w:cstheme="minorHAnsi"/>
        </w:rPr>
        <w:t>vilify those who criticize our values we should focus more on actually living up to them ourselves.</w:t>
      </w:r>
      <w:r w:rsidR="0043132F">
        <w:rPr>
          <w:rFonts w:asciiTheme="minorHAnsi" w:hAnsiTheme="minorHAnsi" w:cstheme="minorHAnsi"/>
        </w:rPr>
        <w:t xml:space="preserve"> In the past two decades since the 9/11 attacks many democratic states have compromised on those values and in doing so </w:t>
      </w:r>
      <w:r w:rsidR="004F71A7">
        <w:rPr>
          <w:rFonts w:asciiTheme="minorHAnsi" w:hAnsiTheme="minorHAnsi" w:cstheme="minorHAnsi"/>
        </w:rPr>
        <w:t xml:space="preserve">eroded public trust in critical institutions and </w:t>
      </w:r>
      <w:r w:rsidR="0043132F">
        <w:rPr>
          <w:rFonts w:asciiTheme="minorHAnsi" w:hAnsiTheme="minorHAnsi" w:cstheme="minorHAnsi"/>
        </w:rPr>
        <w:t xml:space="preserve">undermined many of the </w:t>
      </w:r>
      <w:r w:rsidR="002C2E78">
        <w:rPr>
          <w:rFonts w:asciiTheme="minorHAnsi" w:hAnsiTheme="minorHAnsi" w:cstheme="minorHAnsi"/>
        </w:rPr>
        <w:t>shared</w:t>
      </w:r>
      <w:r w:rsidR="0043132F">
        <w:rPr>
          <w:rFonts w:asciiTheme="minorHAnsi" w:hAnsiTheme="minorHAnsi" w:cstheme="minorHAnsi"/>
        </w:rPr>
        <w:t xml:space="preserve"> narratives that bound together their populations</w:t>
      </w:r>
      <w:r w:rsidR="00BB2383">
        <w:rPr>
          <w:rFonts w:asciiTheme="minorHAnsi" w:hAnsiTheme="minorHAnsi" w:cstheme="minorHAnsi"/>
        </w:rPr>
        <w:t xml:space="preserve">. </w:t>
      </w:r>
      <w:r w:rsidR="0028783F">
        <w:rPr>
          <w:rFonts w:asciiTheme="minorHAnsi" w:hAnsiTheme="minorHAnsi" w:cstheme="minorHAnsi"/>
        </w:rPr>
        <w:t>The f</w:t>
      </w:r>
      <w:r w:rsidR="00BB2383">
        <w:rPr>
          <w:rFonts w:asciiTheme="minorHAnsi" w:hAnsiTheme="minorHAnsi" w:cstheme="minorHAnsi"/>
        </w:rPr>
        <w:t xml:space="preserve">ormer </w:t>
      </w:r>
      <w:r w:rsidR="00A57AC6" w:rsidRPr="00701A42">
        <w:rPr>
          <w:rFonts w:asciiTheme="minorHAnsi" w:hAnsiTheme="minorHAnsi" w:cstheme="minorHAnsi"/>
          <w:color w:val="000000" w:themeColor="text1"/>
        </w:rPr>
        <w:t>UN Special Rapporteur Ben Emmerson</w:t>
      </w:r>
      <w:r w:rsidR="0023589A">
        <w:rPr>
          <w:rFonts w:asciiTheme="minorHAnsi" w:hAnsiTheme="minorHAnsi" w:cstheme="minorHAnsi"/>
          <w:color w:val="000000" w:themeColor="text1"/>
        </w:rPr>
        <w:t xml:space="preserve"> has observed that </w:t>
      </w:r>
      <w:r w:rsidR="00A57AC6" w:rsidRPr="00701A42">
        <w:rPr>
          <w:rFonts w:asciiTheme="minorHAnsi" w:hAnsiTheme="minorHAnsi" w:cstheme="minorHAnsi"/>
          <w:color w:val="000000" w:themeColor="text1"/>
        </w:rPr>
        <w:t>“</w:t>
      </w:r>
      <w:r w:rsidR="0023589A">
        <w:rPr>
          <w:rFonts w:asciiTheme="minorHAnsi" w:hAnsiTheme="minorHAnsi" w:cstheme="minorHAnsi"/>
          <w:color w:val="000000" w:themeColor="text1"/>
        </w:rPr>
        <w:t>t</w:t>
      </w:r>
      <w:r w:rsidR="00A57AC6" w:rsidRPr="00701A42">
        <w:rPr>
          <w:rFonts w:asciiTheme="minorHAnsi" w:hAnsiTheme="minorHAnsi" w:cstheme="minorHAnsi"/>
          <w:color w:val="000000" w:themeColor="text1"/>
        </w:rPr>
        <w:t>he creation of open, equitable, inclusive and pluralist societies, based on full respect for human rights and with economic opportunities for all, represents the most tangible and meaningful alternative to violent extremism and the most promising strategy for rendering it unattractive.”</w:t>
      </w:r>
      <w:r w:rsidR="00A57AC6" w:rsidRPr="00701A42">
        <w:rPr>
          <w:rStyle w:val="FootnoteReference"/>
          <w:rFonts w:asciiTheme="minorHAnsi" w:hAnsiTheme="minorHAnsi" w:cstheme="minorHAnsi"/>
          <w:color w:val="000000" w:themeColor="text1"/>
        </w:rPr>
        <w:footnoteReference w:id="101"/>
      </w:r>
      <w:r w:rsidR="00A57AC6">
        <w:rPr>
          <w:rFonts w:asciiTheme="minorHAnsi" w:hAnsiTheme="minorHAnsi" w:cstheme="minorHAnsi"/>
          <w:color w:val="000000" w:themeColor="text1"/>
        </w:rPr>
        <w:t xml:space="preserve"> </w:t>
      </w:r>
      <w:r w:rsidR="00BB2383">
        <w:rPr>
          <w:rFonts w:asciiTheme="minorHAnsi" w:hAnsiTheme="minorHAnsi" w:cstheme="minorHAnsi"/>
          <w:color w:val="000000" w:themeColor="text1"/>
        </w:rPr>
        <w:t xml:space="preserve">This </w:t>
      </w:r>
      <w:r w:rsidR="00482CF3">
        <w:rPr>
          <w:rFonts w:asciiTheme="minorHAnsi" w:hAnsiTheme="minorHAnsi" w:cstheme="minorHAnsi"/>
          <w:color w:val="000000" w:themeColor="text1"/>
        </w:rPr>
        <w:t>is a vision that we seem to have lost sight of in recent years, and in doing so we have alienated fellow citizens and potential allies alike. If we can get back to building that shining city on a hill perhaps today’s tensions will subside somewhat.</w:t>
      </w:r>
      <w:r w:rsidR="00BB2383">
        <w:rPr>
          <w:rFonts w:asciiTheme="minorHAnsi" w:hAnsiTheme="minorHAnsi" w:cstheme="minorHAnsi"/>
          <w:color w:val="000000" w:themeColor="text1"/>
        </w:rPr>
        <w:t xml:space="preserve"> </w:t>
      </w:r>
      <w:r w:rsidR="00A57AC6">
        <w:rPr>
          <w:rFonts w:asciiTheme="minorHAnsi" w:hAnsiTheme="minorHAnsi" w:cstheme="minorHAnsi"/>
          <w:color w:val="000000" w:themeColor="text1"/>
        </w:rPr>
        <w:t xml:space="preserve">Or, to put it another way, perhaps it’s </w:t>
      </w:r>
      <w:r w:rsidR="00F11CFE">
        <w:rPr>
          <w:rFonts w:asciiTheme="minorHAnsi" w:hAnsiTheme="minorHAnsi" w:cstheme="minorHAnsi"/>
          <w:color w:val="000000" w:themeColor="text1"/>
        </w:rPr>
        <w:t xml:space="preserve">less about </w:t>
      </w:r>
      <w:r w:rsidR="00A57AC6">
        <w:rPr>
          <w:rFonts w:asciiTheme="minorHAnsi" w:hAnsiTheme="minorHAnsi" w:cstheme="minorHAnsi"/>
          <w:color w:val="000000" w:themeColor="text1"/>
        </w:rPr>
        <w:t xml:space="preserve">them, </w:t>
      </w:r>
      <w:r w:rsidR="00F11CFE">
        <w:rPr>
          <w:rFonts w:asciiTheme="minorHAnsi" w:hAnsiTheme="minorHAnsi" w:cstheme="minorHAnsi"/>
          <w:color w:val="000000" w:themeColor="text1"/>
        </w:rPr>
        <w:t>and more about</w:t>
      </w:r>
      <w:r w:rsidR="00A57AC6">
        <w:rPr>
          <w:rFonts w:asciiTheme="minorHAnsi" w:hAnsiTheme="minorHAnsi" w:cstheme="minorHAnsi"/>
          <w:color w:val="000000" w:themeColor="text1"/>
        </w:rPr>
        <w:t xml:space="preserve"> us.</w:t>
      </w:r>
    </w:p>
    <w:sectPr w:rsidR="009E2CC2" w:rsidRPr="004F71A7" w:rsidSect="005C1E19">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ADB8" w14:textId="77777777" w:rsidR="00AB47AA" w:rsidRDefault="00AB47AA" w:rsidP="00E311C0">
      <w:r>
        <w:separator/>
      </w:r>
    </w:p>
  </w:endnote>
  <w:endnote w:type="continuationSeparator" w:id="0">
    <w:p w14:paraId="7433ED84" w14:textId="77777777" w:rsidR="00AB47AA" w:rsidRDefault="00AB47AA" w:rsidP="00E3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ew Baskerville">
    <w:altName w:val="Cambria"/>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oefler Text">
    <w:panose1 w:val="02030602050506020203"/>
    <w:charset w:val="4D"/>
    <w:family w:val="roman"/>
    <w:pitch w:val="variable"/>
    <w:sig w:usb0="800002FF" w:usb1="5000204B" w:usb2="00000004"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854080"/>
      <w:docPartObj>
        <w:docPartGallery w:val="Page Numbers (Bottom of Page)"/>
        <w:docPartUnique/>
      </w:docPartObj>
    </w:sdtPr>
    <w:sdtContent>
      <w:p w14:paraId="32BFEAC0" w14:textId="7B0A880D" w:rsidR="000E3F75" w:rsidRDefault="000E3F75" w:rsidP="009A20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4600">
          <w:rPr>
            <w:rStyle w:val="PageNumber"/>
            <w:noProof/>
          </w:rPr>
          <w:t>7</w:t>
        </w:r>
        <w:r>
          <w:rPr>
            <w:rStyle w:val="PageNumber"/>
          </w:rPr>
          <w:fldChar w:fldCharType="end"/>
        </w:r>
      </w:p>
    </w:sdtContent>
  </w:sdt>
  <w:p w14:paraId="725B4701" w14:textId="77777777" w:rsidR="000E3F75" w:rsidRDefault="000E3F75" w:rsidP="000E3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34714"/>
      <w:docPartObj>
        <w:docPartGallery w:val="Page Numbers (Bottom of Page)"/>
        <w:docPartUnique/>
      </w:docPartObj>
    </w:sdtPr>
    <w:sdtContent>
      <w:p w14:paraId="6C970A86" w14:textId="589FA71E" w:rsidR="000E3F75" w:rsidRDefault="000E3F75" w:rsidP="009A20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A900F9" w14:textId="77777777" w:rsidR="000E3F75" w:rsidRDefault="000E3F75" w:rsidP="000E3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7FE1" w14:textId="77777777" w:rsidR="00AB47AA" w:rsidRDefault="00AB47AA" w:rsidP="00E311C0">
      <w:r>
        <w:separator/>
      </w:r>
    </w:p>
  </w:footnote>
  <w:footnote w:type="continuationSeparator" w:id="0">
    <w:p w14:paraId="2CCBC3B7" w14:textId="77777777" w:rsidR="00AB47AA" w:rsidRDefault="00AB47AA" w:rsidP="00E311C0">
      <w:r>
        <w:continuationSeparator/>
      </w:r>
    </w:p>
  </w:footnote>
  <w:footnote w:id="1">
    <w:p w14:paraId="0C6A268B" w14:textId="658B542A" w:rsidR="00233CBD" w:rsidRPr="00101CD5" w:rsidRDefault="00233CBD" w:rsidP="00E97910">
      <w:pPr>
        <w:pStyle w:val="FootnoteText"/>
        <w:jc w:val="both"/>
        <w:rPr>
          <w:rFonts w:cstheme="minorHAnsi"/>
          <w:sz w:val="20"/>
          <w:szCs w:val="20"/>
        </w:rPr>
      </w:pPr>
      <w:r w:rsidRPr="00101CD5">
        <w:rPr>
          <w:rStyle w:val="FootnoteReference"/>
          <w:rFonts w:cstheme="minorHAnsi"/>
          <w:sz w:val="20"/>
          <w:szCs w:val="20"/>
        </w:rPr>
        <w:footnoteRef/>
      </w:r>
      <w:r w:rsidRPr="00101CD5">
        <w:rPr>
          <w:rFonts w:cstheme="minorHAnsi"/>
          <w:sz w:val="20"/>
          <w:szCs w:val="20"/>
        </w:rPr>
        <w:t xml:space="preserve"> Tom Parker is the author </w:t>
      </w:r>
      <w:r w:rsidR="00BB2374" w:rsidRPr="00101CD5">
        <w:rPr>
          <w:rFonts w:cstheme="minorHAnsi"/>
          <w:i/>
          <w:iCs/>
          <w:sz w:val="20"/>
          <w:szCs w:val="20"/>
        </w:rPr>
        <w:t>Avoiding the Terrorist Trap:</w:t>
      </w:r>
      <w:r w:rsidR="00BB2374" w:rsidRPr="00101CD5">
        <w:rPr>
          <w:rFonts w:cstheme="minorHAnsi"/>
          <w:sz w:val="20"/>
          <w:szCs w:val="20"/>
        </w:rPr>
        <w:t xml:space="preserve"> </w:t>
      </w:r>
      <w:r w:rsidR="00BB2374" w:rsidRPr="00101CD5">
        <w:rPr>
          <w:rFonts w:cstheme="minorHAnsi"/>
          <w:i/>
          <w:iCs/>
          <w:sz w:val="20"/>
          <w:szCs w:val="20"/>
        </w:rPr>
        <w:t>Why Respect for Human Rights is the Key to Defeating Terrorism</w:t>
      </w:r>
      <w:r w:rsidR="00BB2374" w:rsidRPr="00101CD5">
        <w:rPr>
          <w:rFonts w:cstheme="minorHAnsi"/>
          <w:sz w:val="20"/>
          <w:szCs w:val="20"/>
        </w:rPr>
        <w:t>.</w:t>
      </w:r>
    </w:p>
  </w:footnote>
  <w:footnote w:id="2">
    <w:p w14:paraId="438B7520" w14:textId="2AEA7DF0" w:rsidR="00B27D8C" w:rsidRPr="00E50D4C" w:rsidRDefault="0062692D" w:rsidP="00E97910">
      <w:pPr>
        <w:pStyle w:val="FootnoteText"/>
        <w:jc w:val="both"/>
        <w:rPr>
          <w:sz w:val="20"/>
          <w:szCs w:val="20"/>
        </w:rPr>
      </w:pPr>
      <w:r w:rsidRPr="00101CD5">
        <w:rPr>
          <w:rStyle w:val="FootnoteReference"/>
          <w:sz w:val="20"/>
          <w:szCs w:val="20"/>
        </w:rPr>
        <w:footnoteRef/>
      </w:r>
      <w:r w:rsidRPr="00101CD5">
        <w:rPr>
          <w:sz w:val="20"/>
          <w:szCs w:val="20"/>
        </w:rPr>
        <w:t xml:space="preserve"> </w:t>
      </w:r>
      <w:r w:rsidR="00B27D8C" w:rsidRPr="00101CD5">
        <w:rPr>
          <w:sz w:val="20"/>
          <w:szCs w:val="20"/>
        </w:rPr>
        <w:t xml:space="preserve">Vikram Dodd and Dan Sabbagh, </w:t>
      </w:r>
      <w:r w:rsidR="00B27D8C" w:rsidRPr="00101CD5">
        <w:rPr>
          <w:i/>
          <w:iCs/>
          <w:sz w:val="20"/>
          <w:szCs w:val="20"/>
        </w:rPr>
        <w:t>David Amess killing: suspect referred to Channel counter-terrorist scheme in 2014</w:t>
      </w:r>
      <w:r w:rsidR="00B27D8C" w:rsidRPr="00101CD5">
        <w:rPr>
          <w:sz w:val="20"/>
          <w:szCs w:val="20"/>
        </w:rPr>
        <w:t xml:space="preserve">, The Guardian, 19 October 2021 at </w:t>
      </w:r>
      <w:hyperlink r:id="rId1" w:history="1">
        <w:r w:rsidR="00B27D8C" w:rsidRPr="00101CD5">
          <w:rPr>
            <w:rStyle w:val="Hyperlink"/>
            <w:sz w:val="20"/>
            <w:szCs w:val="20"/>
          </w:rPr>
          <w:t>https://www.theguardian.com/uk-news/2021/oct/19/david-amess-killing-suspect-referred-to-channel-counter-terror-scheme-in-2014</w:t>
        </w:r>
      </w:hyperlink>
      <w:r w:rsidR="00101CD5" w:rsidRPr="00101CD5">
        <w:rPr>
          <w:sz w:val="20"/>
          <w:szCs w:val="20"/>
        </w:rPr>
        <w:t>.</w:t>
      </w:r>
    </w:p>
  </w:footnote>
  <w:footnote w:id="3">
    <w:p w14:paraId="172F4E3A" w14:textId="70BA7C8A" w:rsidR="00DB3680" w:rsidRPr="00E50D4C" w:rsidRDefault="00DB3680" w:rsidP="003E4BBA">
      <w:pPr>
        <w:pStyle w:val="FootnoteText"/>
        <w:jc w:val="both"/>
        <w:rPr>
          <w:sz w:val="20"/>
          <w:szCs w:val="20"/>
        </w:rPr>
      </w:pPr>
      <w:r w:rsidRPr="00E50D4C">
        <w:rPr>
          <w:rStyle w:val="FootnoteReference"/>
          <w:sz w:val="20"/>
          <w:szCs w:val="20"/>
        </w:rPr>
        <w:footnoteRef/>
      </w:r>
      <w:r w:rsidRPr="00E50D4C">
        <w:rPr>
          <w:sz w:val="20"/>
          <w:szCs w:val="20"/>
        </w:rPr>
        <w:t xml:space="preserve"> Matt </w:t>
      </w:r>
      <w:proofErr w:type="spellStart"/>
      <w:r w:rsidRPr="00E50D4C">
        <w:rPr>
          <w:sz w:val="20"/>
          <w:szCs w:val="20"/>
        </w:rPr>
        <w:t>Dathan</w:t>
      </w:r>
      <w:proofErr w:type="spellEnd"/>
      <w:r w:rsidRPr="00E50D4C">
        <w:rPr>
          <w:sz w:val="20"/>
          <w:szCs w:val="20"/>
        </w:rPr>
        <w:t xml:space="preserve">, </w:t>
      </w:r>
      <w:proofErr w:type="spellStart"/>
      <w:r w:rsidRPr="00E50D4C">
        <w:rPr>
          <w:i/>
          <w:iCs/>
          <w:sz w:val="20"/>
          <w:szCs w:val="20"/>
        </w:rPr>
        <w:t>Priti</w:t>
      </w:r>
      <w:proofErr w:type="spellEnd"/>
      <w:r w:rsidRPr="00E50D4C">
        <w:rPr>
          <w:i/>
          <w:iCs/>
          <w:sz w:val="20"/>
          <w:szCs w:val="20"/>
        </w:rPr>
        <w:t xml:space="preserve"> Patel to overhaul Prevent counter-terror </w:t>
      </w:r>
      <w:proofErr w:type="spellStart"/>
      <w:r w:rsidRPr="00E50D4C">
        <w:rPr>
          <w:i/>
          <w:iCs/>
          <w:sz w:val="20"/>
          <w:szCs w:val="20"/>
        </w:rPr>
        <w:t>programme</w:t>
      </w:r>
      <w:proofErr w:type="spellEnd"/>
      <w:r w:rsidRPr="00E50D4C">
        <w:rPr>
          <w:sz w:val="20"/>
          <w:szCs w:val="20"/>
        </w:rPr>
        <w:t xml:space="preserve">, The Times, 18 April 2022 at </w:t>
      </w:r>
      <w:hyperlink r:id="rId2" w:history="1">
        <w:r w:rsidRPr="00E50D4C">
          <w:rPr>
            <w:rStyle w:val="Hyperlink"/>
            <w:sz w:val="20"/>
            <w:szCs w:val="20"/>
          </w:rPr>
          <w:t>https://www.thetimes.co.uk/article/priti-patel-to-overhaul-prevent-counter-terror-programme-vrj5t3sh7?shareToken=944525c50aaaa17c931eead2fd788a95</w:t>
        </w:r>
      </w:hyperlink>
      <w:r w:rsidR="00101CD5">
        <w:rPr>
          <w:sz w:val="20"/>
          <w:szCs w:val="20"/>
        </w:rPr>
        <w:t>.</w:t>
      </w:r>
    </w:p>
  </w:footnote>
  <w:footnote w:id="4">
    <w:p w14:paraId="1F115FB2" w14:textId="637D40BD" w:rsidR="00E50D4C" w:rsidRPr="00E50D4C" w:rsidRDefault="00E50D4C">
      <w:pPr>
        <w:pStyle w:val="FootnoteText"/>
        <w:rPr>
          <w:sz w:val="20"/>
          <w:szCs w:val="20"/>
        </w:rPr>
      </w:pPr>
      <w:r w:rsidRPr="00E50D4C">
        <w:rPr>
          <w:rStyle w:val="FootnoteReference"/>
          <w:sz w:val="20"/>
          <w:szCs w:val="20"/>
        </w:rPr>
        <w:footnoteRef/>
      </w:r>
      <w:r w:rsidRPr="00E50D4C">
        <w:rPr>
          <w:sz w:val="20"/>
          <w:szCs w:val="20"/>
        </w:rPr>
        <w:t xml:space="preserve"> Catherine McGlynn and Shaun McDaid, </w:t>
      </w:r>
      <w:proofErr w:type="spellStart"/>
      <w:r w:rsidRPr="00E50D4C">
        <w:rPr>
          <w:i/>
          <w:iCs/>
          <w:sz w:val="20"/>
          <w:szCs w:val="20"/>
        </w:rPr>
        <w:t>Radicalisation</w:t>
      </w:r>
      <w:proofErr w:type="spellEnd"/>
      <w:r w:rsidRPr="00E50D4C">
        <w:rPr>
          <w:i/>
          <w:iCs/>
          <w:sz w:val="20"/>
          <w:szCs w:val="20"/>
        </w:rPr>
        <w:t xml:space="preserve"> and Counter-</w:t>
      </w:r>
      <w:proofErr w:type="spellStart"/>
      <w:r w:rsidRPr="00E50D4C">
        <w:rPr>
          <w:i/>
          <w:iCs/>
          <w:sz w:val="20"/>
          <w:szCs w:val="20"/>
        </w:rPr>
        <w:t>Radicalisation</w:t>
      </w:r>
      <w:proofErr w:type="spellEnd"/>
      <w:r w:rsidRPr="00E50D4C">
        <w:rPr>
          <w:i/>
          <w:iCs/>
          <w:sz w:val="20"/>
          <w:szCs w:val="20"/>
        </w:rPr>
        <w:t xml:space="preserve"> in Higher Education </w:t>
      </w:r>
      <w:r w:rsidRPr="00E50D4C">
        <w:rPr>
          <w:sz w:val="20"/>
          <w:szCs w:val="20"/>
        </w:rPr>
        <w:t xml:space="preserve">(Emerald Publishing; 2019) at </w:t>
      </w:r>
      <w:r w:rsidRPr="00D950E9">
        <w:rPr>
          <w:sz w:val="20"/>
          <w:szCs w:val="20"/>
        </w:rPr>
        <w:t>148</w:t>
      </w:r>
      <w:r w:rsidR="00005C86">
        <w:rPr>
          <w:sz w:val="20"/>
          <w:szCs w:val="20"/>
        </w:rPr>
        <w:t xml:space="preserve">, and </w:t>
      </w:r>
      <w:r w:rsidR="00005C86" w:rsidRPr="00B214DE">
        <w:rPr>
          <w:sz w:val="20"/>
          <w:szCs w:val="20"/>
        </w:rPr>
        <w:t xml:space="preserve">Monica Lloyd and Christopher Dean, </w:t>
      </w:r>
      <w:r w:rsidR="00005C86" w:rsidRPr="00B214DE">
        <w:rPr>
          <w:i/>
          <w:iCs/>
          <w:sz w:val="20"/>
          <w:szCs w:val="20"/>
        </w:rPr>
        <w:t>The Development of Structured Guide</w:t>
      </w:r>
      <w:r w:rsidR="00005C86">
        <w:rPr>
          <w:i/>
          <w:iCs/>
          <w:sz w:val="20"/>
          <w:szCs w:val="20"/>
        </w:rPr>
        <w:t>l</w:t>
      </w:r>
      <w:r w:rsidR="00005C86" w:rsidRPr="00B214DE">
        <w:rPr>
          <w:i/>
          <w:iCs/>
          <w:sz w:val="20"/>
          <w:szCs w:val="20"/>
        </w:rPr>
        <w:t>ines of Assessing Risk in Extremist Offenders</w:t>
      </w:r>
      <w:r w:rsidR="00005C86" w:rsidRPr="00B214DE">
        <w:rPr>
          <w:sz w:val="20"/>
          <w:szCs w:val="20"/>
        </w:rPr>
        <w:t>, Journal of Threat Assessment and Management, Vol. 2, No.1 (March 2015) at 40</w:t>
      </w:r>
      <w:r w:rsidR="00101CD5">
        <w:rPr>
          <w:sz w:val="20"/>
          <w:szCs w:val="20"/>
        </w:rPr>
        <w:t>.</w:t>
      </w:r>
    </w:p>
  </w:footnote>
  <w:footnote w:id="5">
    <w:p w14:paraId="4D6ACA08" w14:textId="300A1611" w:rsidR="001E6633" w:rsidRPr="0028783A" w:rsidRDefault="001E6633" w:rsidP="003E4BBA">
      <w:pPr>
        <w:pStyle w:val="FootnoteText"/>
        <w:jc w:val="both"/>
        <w:rPr>
          <w:sz w:val="20"/>
          <w:szCs w:val="20"/>
        </w:rPr>
      </w:pPr>
      <w:r w:rsidRPr="00E50D4C">
        <w:rPr>
          <w:rStyle w:val="FootnoteReference"/>
          <w:sz w:val="20"/>
          <w:szCs w:val="20"/>
        </w:rPr>
        <w:footnoteRef/>
      </w:r>
      <w:r w:rsidRPr="00E50D4C">
        <w:rPr>
          <w:sz w:val="20"/>
          <w:szCs w:val="20"/>
        </w:rPr>
        <w:t xml:space="preserve"> Matt </w:t>
      </w:r>
      <w:proofErr w:type="spellStart"/>
      <w:r w:rsidRPr="00E50D4C">
        <w:rPr>
          <w:sz w:val="20"/>
          <w:szCs w:val="20"/>
        </w:rPr>
        <w:t>Dathan</w:t>
      </w:r>
      <w:proofErr w:type="spellEnd"/>
      <w:r w:rsidRPr="00E50D4C">
        <w:rPr>
          <w:sz w:val="20"/>
          <w:szCs w:val="20"/>
        </w:rPr>
        <w:t xml:space="preserve">, </w:t>
      </w:r>
      <w:r w:rsidR="00CB6804" w:rsidRPr="00CB6804">
        <w:rPr>
          <w:i/>
          <w:iCs/>
          <w:sz w:val="20"/>
          <w:szCs w:val="20"/>
        </w:rPr>
        <w:t>supra</w:t>
      </w:r>
      <w:r w:rsidR="00CB6804">
        <w:rPr>
          <w:sz w:val="20"/>
          <w:szCs w:val="20"/>
        </w:rPr>
        <w:t xml:space="preserve"> note 3 </w:t>
      </w:r>
    </w:p>
  </w:footnote>
  <w:footnote w:id="6">
    <w:p w14:paraId="707061D0" w14:textId="1587BF2A" w:rsidR="00BC2831" w:rsidRPr="00A22F13" w:rsidRDefault="00BC2831" w:rsidP="009A20B8">
      <w:pPr>
        <w:pStyle w:val="NoSpacing"/>
        <w:jc w:val="both"/>
        <w:rPr>
          <w:rFonts w:asciiTheme="minorHAnsi" w:hAnsiTheme="minorHAnsi" w:cstheme="minorHAnsi"/>
          <w:sz w:val="20"/>
          <w:szCs w:val="20"/>
        </w:rPr>
      </w:pPr>
      <w:r w:rsidRPr="00A22F13">
        <w:rPr>
          <w:rStyle w:val="FootnoteReference"/>
          <w:rFonts w:asciiTheme="minorHAnsi" w:hAnsiTheme="minorHAnsi" w:cstheme="minorHAnsi"/>
          <w:sz w:val="20"/>
          <w:szCs w:val="20"/>
        </w:rPr>
        <w:footnoteRef/>
      </w:r>
      <w:r w:rsidRPr="00A22F13">
        <w:rPr>
          <w:rFonts w:asciiTheme="minorHAnsi" w:hAnsiTheme="minorHAnsi" w:cstheme="minorHAnsi"/>
          <w:sz w:val="20"/>
          <w:szCs w:val="20"/>
        </w:rPr>
        <w:t xml:space="preserve"> USAID Policy, </w:t>
      </w:r>
      <w:r w:rsidRPr="00A22F13">
        <w:rPr>
          <w:rFonts w:asciiTheme="minorHAnsi" w:hAnsiTheme="minorHAnsi" w:cstheme="minorHAnsi"/>
          <w:i/>
          <w:iCs/>
          <w:sz w:val="20"/>
          <w:szCs w:val="20"/>
        </w:rPr>
        <w:t>The Development Response to Violent Extremism and Insurgency</w:t>
      </w:r>
      <w:r w:rsidRPr="00A22F13">
        <w:rPr>
          <w:rFonts w:asciiTheme="minorHAnsi" w:hAnsiTheme="minorHAnsi" w:cstheme="minorHAnsi"/>
          <w:sz w:val="20"/>
          <w:szCs w:val="20"/>
        </w:rPr>
        <w:t xml:space="preserve"> </w:t>
      </w:r>
      <w:r w:rsidR="009A20B8">
        <w:rPr>
          <w:rFonts w:asciiTheme="minorHAnsi" w:hAnsiTheme="minorHAnsi" w:cstheme="minorHAnsi"/>
          <w:sz w:val="20"/>
          <w:szCs w:val="20"/>
        </w:rPr>
        <w:t>(</w:t>
      </w:r>
      <w:r w:rsidRPr="00A22F13">
        <w:rPr>
          <w:rFonts w:asciiTheme="minorHAnsi" w:hAnsiTheme="minorHAnsi" w:cstheme="minorHAnsi"/>
          <w:sz w:val="20"/>
          <w:szCs w:val="20"/>
        </w:rPr>
        <w:t>United States Agency for International Development</w:t>
      </w:r>
      <w:r w:rsidR="009A20B8">
        <w:rPr>
          <w:rFonts w:asciiTheme="minorHAnsi" w:hAnsiTheme="minorHAnsi" w:cstheme="minorHAnsi"/>
          <w:sz w:val="20"/>
          <w:szCs w:val="20"/>
        </w:rPr>
        <w:t xml:space="preserve">; </w:t>
      </w:r>
      <w:r w:rsidRPr="00A22F13">
        <w:rPr>
          <w:rFonts w:asciiTheme="minorHAnsi" w:hAnsiTheme="minorHAnsi" w:cstheme="minorHAnsi"/>
          <w:sz w:val="20"/>
          <w:szCs w:val="20"/>
        </w:rPr>
        <w:t>September 2011).</w:t>
      </w:r>
    </w:p>
  </w:footnote>
  <w:footnote w:id="7">
    <w:p w14:paraId="4E1E5290" w14:textId="1A15B425" w:rsidR="0089679C" w:rsidRPr="00A22F13" w:rsidRDefault="0089679C" w:rsidP="009A20B8">
      <w:pPr>
        <w:pStyle w:val="FootnoteText"/>
        <w:jc w:val="both"/>
        <w:rPr>
          <w:rFonts w:cstheme="minorHAnsi"/>
          <w:sz w:val="20"/>
          <w:szCs w:val="20"/>
        </w:rPr>
      </w:pPr>
      <w:r w:rsidRPr="00A22F13">
        <w:rPr>
          <w:rStyle w:val="FootnoteReference"/>
          <w:rFonts w:cstheme="minorHAnsi"/>
          <w:sz w:val="20"/>
          <w:szCs w:val="20"/>
        </w:rPr>
        <w:footnoteRef/>
      </w:r>
      <w:r w:rsidRPr="00A22F13">
        <w:rPr>
          <w:rFonts w:cstheme="minorHAnsi"/>
          <w:sz w:val="20"/>
          <w:szCs w:val="20"/>
        </w:rPr>
        <w:t xml:space="preserve"> </w:t>
      </w:r>
      <w:r w:rsidR="00BA6E22" w:rsidRPr="00A22F13">
        <w:rPr>
          <w:rFonts w:cstheme="minorHAnsi"/>
          <w:color w:val="231F20"/>
          <w:sz w:val="20"/>
          <w:szCs w:val="20"/>
        </w:rPr>
        <w:t xml:space="preserve">James Khalil and Martine </w:t>
      </w:r>
      <w:proofErr w:type="spellStart"/>
      <w:r w:rsidR="00BA6E22" w:rsidRPr="00A22F13">
        <w:rPr>
          <w:rFonts w:cstheme="minorHAnsi"/>
          <w:color w:val="231F20"/>
          <w:sz w:val="20"/>
          <w:szCs w:val="20"/>
        </w:rPr>
        <w:t>Zeuthen</w:t>
      </w:r>
      <w:proofErr w:type="spellEnd"/>
      <w:r w:rsidR="00BA6E22" w:rsidRPr="00A22F13">
        <w:rPr>
          <w:rFonts w:cstheme="minorHAnsi"/>
          <w:color w:val="231F20"/>
          <w:sz w:val="20"/>
          <w:szCs w:val="20"/>
        </w:rPr>
        <w:t xml:space="preserve">, </w:t>
      </w:r>
      <w:r w:rsidR="00BA6E22" w:rsidRPr="00A22F13">
        <w:rPr>
          <w:rFonts w:cstheme="minorHAnsi"/>
          <w:i/>
          <w:iCs/>
          <w:color w:val="231F20"/>
          <w:sz w:val="20"/>
          <w:szCs w:val="20"/>
        </w:rPr>
        <w:t>Countering Violent Extremism and Risk Reduction</w:t>
      </w:r>
      <w:r w:rsidR="00BA6E22" w:rsidRPr="00A22F13">
        <w:rPr>
          <w:rFonts w:cstheme="minorHAnsi"/>
          <w:color w:val="231F20"/>
          <w:sz w:val="20"/>
          <w:szCs w:val="20"/>
        </w:rPr>
        <w:t xml:space="preserve">, Royal United Services Institute Whitehall Report 2–16, June 2016, </w:t>
      </w:r>
      <w:r w:rsidR="009A20B8">
        <w:rPr>
          <w:rFonts w:cstheme="minorHAnsi"/>
          <w:color w:val="231F20"/>
          <w:sz w:val="20"/>
          <w:szCs w:val="20"/>
        </w:rPr>
        <w:t>at</w:t>
      </w:r>
      <w:r w:rsidR="00BA6E22" w:rsidRPr="00A22F13">
        <w:rPr>
          <w:rFonts w:cstheme="minorHAnsi"/>
          <w:color w:val="231F20"/>
          <w:sz w:val="20"/>
          <w:szCs w:val="20"/>
        </w:rPr>
        <w:t xml:space="preserve"> 9.</w:t>
      </w:r>
    </w:p>
  </w:footnote>
  <w:footnote w:id="8">
    <w:p w14:paraId="2D3A8417" w14:textId="2114F611" w:rsidR="00BA6E22" w:rsidRPr="00A22F13" w:rsidRDefault="00BA6E22" w:rsidP="009A20B8">
      <w:pPr>
        <w:pStyle w:val="NoSpacing"/>
        <w:jc w:val="both"/>
        <w:rPr>
          <w:rFonts w:asciiTheme="minorHAnsi" w:hAnsiTheme="minorHAnsi" w:cstheme="minorHAnsi"/>
          <w:sz w:val="20"/>
          <w:szCs w:val="20"/>
        </w:rPr>
      </w:pPr>
      <w:r w:rsidRPr="00A22F13">
        <w:rPr>
          <w:rStyle w:val="FootnoteReference"/>
          <w:rFonts w:asciiTheme="minorHAnsi" w:hAnsiTheme="minorHAnsi" w:cstheme="minorHAnsi"/>
          <w:sz w:val="20"/>
          <w:szCs w:val="20"/>
        </w:rPr>
        <w:footnoteRef/>
      </w:r>
      <w:r w:rsidRPr="00A22F13">
        <w:rPr>
          <w:rFonts w:asciiTheme="minorHAnsi" w:hAnsiTheme="minorHAnsi" w:cstheme="minorHAnsi"/>
          <w:sz w:val="20"/>
          <w:szCs w:val="20"/>
        </w:rPr>
        <w:t xml:space="preserve"> </w:t>
      </w:r>
      <w:proofErr w:type="spellStart"/>
      <w:r w:rsidRPr="00A22F13">
        <w:rPr>
          <w:rFonts w:asciiTheme="minorHAnsi" w:hAnsiTheme="minorHAnsi" w:cstheme="minorHAnsi"/>
          <w:sz w:val="20"/>
          <w:szCs w:val="20"/>
        </w:rPr>
        <w:t>Fathali</w:t>
      </w:r>
      <w:proofErr w:type="spellEnd"/>
      <w:r w:rsidRPr="00A22F13">
        <w:rPr>
          <w:rFonts w:asciiTheme="minorHAnsi" w:hAnsiTheme="minorHAnsi" w:cstheme="minorHAnsi"/>
          <w:sz w:val="20"/>
          <w:szCs w:val="20"/>
        </w:rPr>
        <w:t xml:space="preserve"> Moghaddam, </w:t>
      </w:r>
      <w:r w:rsidRPr="009A20B8">
        <w:rPr>
          <w:rFonts w:asciiTheme="minorHAnsi" w:hAnsiTheme="minorHAnsi" w:cstheme="minorHAnsi"/>
          <w:i/>
          <w:iCs/>
          <w:sz w:val="20"/>
          <w:szCs w:val="20"/>
        </w:rPr>
        <w:t>The Staircase to Terrorism: A Psychological Exploration</w:t>
      </w:r>
      <w:r w:rsidRPr="00A22F13">
        <w:rPr>
          <w:rFonts w:asciiTheme="minorHAnsi" w:hAnsiTheme="minorHAnsi" w:cstheme="minorHAnsi"/>
          <w:sz w:val="20"/>
          <w:szCs w:val="20"/>
        </w:rPr>
        <w:t xml:space="preserve">, </w:t>
      </w:r>
      <w:r w:rsidRPr="009A20B8">
        <w:rPr>
          <w:rFonts w:asciiTheme="minorHAnsi" w:hAnsiTheme="minorHAnsi" w:cstheme="minorHAnsi"/>
          <w:sz w:val="20"/>
          <w:szCs w:val="20"/>
        </w:rPr>
        <w:t>American Psychologist</w:t>
      </w:r>
      <w:r w:rsidRPr="00A22F13">
        <w:rPr>
          <w:rFonts w:asciiTheme="minorHAnsi" w:hAnsiTheme="minorHAnsi" w:cstheme="minorHAnsi"/>
          <w:sz w:val="20"/>
          <w:szCs w:val="20"/>
        </w:rPr>
        <w:t>, Vol. 60, No. 2, February–March 2005.</w:t>
      </w:r>
    </w:p>
  </w:footnote>
  <w:footnote w:id="9">
    <w:p w14:paraId="6319A556" w14:textId="43384CE2" w:rsidR="00087D47" w:rsidRPr="00A22F13" w:rsidRDefault="00087D47" w:rsidP="009A20B8">
      <w:pPr>
        <w:pStyle w:val="FootnoteText"/>
        <w:jc w:val="both"/>
        <w:rPr>
          <w:rFonts w:cstheme="minorHAnsi"/>
          <w:sz w:val="20"/>
          <w:szCs w:val="20"/>
        </w:rPr>
      </w:pPr>
      <w:r w:rsidRPr="00A22F13">
        <w:rPr>
          <w:rStyle w:val="FootnoteReference"/>
          <w:rFonts w:cstheme="minorHAnsi"/>
          <w:sz w:val="20"/>
          <w:szCs w:val="20"/>
        </w:rPr>
        <w:footnoteRef/>
      </w:r>
      <w:r w:rsidRPr="00A22F13">
        <w:rPr>
          <w:rFonts w:cstheme="minorHAnsi"/>
          <w:sz w:val="20"/>
          <w:szCs w:val="20"/>
        </w:rPr>
        <w:t xml:space="preserve"> Mitchell Silber and Arvin Bhatt, </w:t>
      </w:r>
      <w:r w:rsidRPr="00A22F13">
        <w:rPr>
          <w:rFonts w:cstheme="minorHAnsi"/>
          <w:i/>
          <w:iCs/>
          <w:sz w:val="20"/>
          <w:szCs w:val="20"/>
        </w:rPr>
        <w:t>Radicalization in the West: The Homegrown Threat</w:t>
      </w:r>
      <w:r w:rsidRPr="00A22F13">
        <w:rPr>
          <w:rFonts w:cstheme="minorHAnsi"/>
          <w:sz w:val="20"/>
          <w:szCs w:val="20"/>
        </w:rPr>
        <w:t xml:space="preserve"> </w:t>
      </w:r>
      <w:r w:rsidR="009A20B8">
        <w:rPr>
          <w:rFonts w:cstheme="minorHAnsi"/>
          <w:sz w:val="20"/>
          <w:szCs w:val="20"/>
        </w:rPr>
        <w:t>(</w:t>
      </w:r>
      <w:r w:rsidRPr="00A22F13">
        <w:rPr>
          <w:rFonts w:cstheme="minorHAnsi"/>
          <w:sz w:val="20"/>
          <w:szCs w:val="20"/>
        </w:rPr>
        <w:t>New York Police Department</w:t>
      </w:r>
      <w:r w:rsidR="009A20B8">
        <w:rPr>
          <w:rFonts w:cstheme="minorHAnsi"/>
          <w:sz w:val="20"/>
          <w:szCs w:val="20"/>
        </w:rPr>
        <w:t>;</w:t>
      </w:r>
      <w:r w:rsidRPr="00A22F13">
        <w:rPr>
          <w:rFonts w:cstheme="minorHAnsi"/>
          <w:sz w:val="20"/>
          <w:szCs w:val="20"/>
        </w:rPr>
        <w:t xml:space="preserve"> 2007</w:t>
      </w:r>
      <w:r w:rsidR="009A20B8">
        <w:rPr>
          <w:rFonts w:cstheme="minorHAnsi"/>
          <w:sz w:val="20"/>
          <w:szCs w:val="20"/>
        </w:rPr>
        <w:t>)</w:t>
      </w:r>
      <w:r w:rsidRPr="00A22F13">
        <w:rPr>
          <w:rFonts w:cstheme="minorHAnsi"/>
          <w:sz w:val="20"/>
          <w:szCs w:val="20"/>
        </w:rPr>
        <w:t xml:space="preserve"> at 6</w:t>
      </w:r>
      <w:r w:rsidR="009A20B8">
        <w:rPr>
          <w:rFonts w:cstheme="minorHAnsi"/>
          <w:sz w:val="20"/>
          <w:szCs w:val="20"/>
        </w:rPr>
        <w:t>.</w:t>
      </w:r>
    </w:p>
  </w:footnote>
  <w:footnote w:id="10">
    <w:p w14:paraId="4D04AEAD" w14:textId="67575964" w:rsidR="00BA6E22" w:rsidRPr="005F7E20" w:rsidRDefault="00BA6E22" w:rsidP="009A20B8">
      <w:pPr>
        <w:pStyle w:val="NoSpacing"/>
        <w:jc w:val="both"/>
        <w:rPr>
          <w:rFonts w:asciiTheme="minorHAnsi" w:hAnsiTheme="minorHAnsi" w:cstheme="minorHAnsi"/>
          <w:sz w:val="20"/>
          <w:szCs w:val="20"/>
        </w:rPr>
      </w:pPr>
      <w:r w:rsidRPr="00A22F13">
        <w:rPr>
          <w:rStyle w:val="FootnoteReference"/>
          <w:rFonts w:asciiTheme="minorHAnsi" w:hAnsiTheme="minorHAnsi" w:cstheme="minorHAnsi"/>
          <w:sz w:val="20"/>
          <w:szCs w:val="20"/>
        </w:rPr>
        <w:footnoteRef/>
      </w:r>
      <w:r w:rsidRPr="00A22F13">
        <w:rPr>
          <w:rFonts w:asciiTheme="minorHAnsi" w:hAnsiTheme="minorHAnsi" w:cstheme="minorHAnsi"/>
          <w:sz w:val="20"/>
          <w:szCs w:val="20"/>
        </w:rPr>
        <w:t xml:space="preserve"> Kris </w:t>
      </w:r>
      <w:proofErr w:type="spellStart"/>
      <w:r w:rsidRPr="00A22F13">
        <w:rPr>
          <w:rFonts w:asciiTheme="minorHAnsi" w:hAnsiTheme="minorHAnsi" w:cstheme="minorHAnsi"/>
          <w:sz w:val="20"/>
          <w:szCs w:val="20"/>
        </w:rPr>
        <w:t>Christmann</w:t>
      </w:r>
      <w:proofErr w:type="spellEnd"/>
      <w:r w:rsidRPr="00A22F13">
        <w:rPr>
          <w:rFonts w:asciiTheme="minorHAnsi" w:hAnsiTheme="minorHAnsi" w:cstheme="minorHAnsi"/>
          <w:sz w:val="20"/>
          <w:szCs w:val="20"/>
        </w:rPr>
        <w:t xml:space="preserve">, </w:t>
      </w:r>
      <w:r w:rsidRPr="009A20B8">
        <w:rPr>
          <w:rFonts w:asciiTheme="minorHAnsi" w:hAnsiTheme="minorHAnsi" w:cstheme="minorHAnsi"/>
          <w:i/>
          <w:iCs/>
          <w:sz w:val="20"/>
          <w:szCs w:val="20"/>
        </w:rPr>
        <w:t xml:space="preserve">Preventing Religious </w:t>
      </w:r>
      <w:proofErr w:type="spellStart"/>
      <w:r w:rsidRPr="009A20B8">
        <w:rPr>
          <w:rFonts w:asciiTheme="minorHAnsi" w:hAnsiTheme="minorHAnsi" w:cstheme="minorHAnsi"/>
          <w:i/>
          <w:iCs/>
          <w:sz w:val="20"/>
          <w:szCs w:val="20"/>
        </w:rPr>
        <w:t>Radicalisation</w:t>
      </w:r>
      <w:proofErr w:type="spellEnd"/>
      <w:r w:rsidRPr="009A20B8">
        <w:rPr>
          <w:rFonts w:asciiTheme="minorHAnsi" w:hAnsiTheme="minorHAnsi" w:cstheme="minorHAnsi"/>
          <w:i/>
          <w:iCs/>
          <w:sz w:val="20"/>
          <w:szCs w:val="20"/>
        </w:rPr>
        <w:t xml:space="preserve"> and Violent Extremism: A Systematic Review of the </w:t>
      </w:r>
      <w:r w:rsidRPr="005F7E20">
        <w:rPr>
          <w:rFonts w:asciiTheme="minorHAnsi" w:hAnsiTheme="minorHAnsi" w:cstheme="minorHAnsi"/>
          <w:i/>
          <w:iCs/>
          <w:sz w:val="20"/>
          <w:szCs w:val="20"/>
        </w:rPr>
        <w:t>Research Evidence</w:t>
      </w:r>
      <w:r w:rsidRPr="005F7E20">
        <w:rPr>
          <w:rFonts w:asciiTheme="minorHAnsi" w:hAnsiTheme="minorHAnsi" w:cstheme="minorHAnsi"/>
          <w:sz w:val="20"/>
          <w:szCs w:val="20"/>
        </w:rPr>
        <w:t>, Youth Justice Board for England and Wales (2012).</w:t>
      </w:r>
    </w:p>
  </w:footnote>
  <w:footnote w:id="11">
    <w:p w14:paraId="235B17B3" w14:textId="4D8BD421" w:rsidR="00BA6E22" w:rsidRPr="005F7E20" w:rsidRDefault="00BA6E22" w:rsidP="009A20B8">
      <w:pPr>
        <w:pStyle w:val="NoSpacing"/>
        <w:jc w:val="both"/>
        <w:rPr>
          <w:rFonts w:asciiTheme="minorHAnsi" w:hAnsiTheme="minorHAnsi" w:cstheme="minorHAnsi"/>
          <w:sz w:val="20"/>
          <w:szCs w:val="20"/>
        </w:rPr>
      </w:pPr>
      <w:r w:rsidRPr="005F7E20">
        <w:rPr>
          <w:rStyle w:val="FootnoteReference"/>
          <w:rFonts w:asciiTheme="minorHAnsi" w:hAnsiTheme="minorHAnsi" w:cstheme="minorHAnsi"/>
          <w:sz w:val="20"/>
          <w:szCs w:val="20"/>
        </w:rPr>
        <w:footnoteRef/>
      </w:r>
      <w:r w:rsidRPr="005F7E20">
        <w:rPr>
          <w:rFonts w:asciiTheme="minorHAnsi" w:hAnsiTheme="minorHAnsi" w:cstheme="minorHAnsi"/>
          <w:sz w:val="20"/>
          <w:szCs w:val="20"/>
        </w:rPr>
        <w:t xml:space="preserve"> </w:t>
      </w:r>
      <w:r w:rsidR="007723F1" w:rsidRPr="005F7E20">
        <w:rPr>
          <w:rFonts w:asciiTheme="minorHAnsi" w:hAnsiTheme="minorHAnsi" w:cstheme="minorHAnsi"/>
          <w:sz w:val="20"/>
          <w:szCs w:val="20"/>
        </w:rPr>
        <w:t xml:space="preserve">Clark McCauley and Sophia Moskalenko, Mechanisms of Political Radicalization: Pathways Toward Terrorism, </w:t>
      </w:r>
      <w:r w:rsidR="007723F1" w:rsidRPr="005F7E20">
        <w:rPr>
          <w:rFonts w:asciiTheme="minorHAnsi" w:hAnsiTheme="minorHAnsi" w:cstheme="minorHAnsi"/>
          <w:i/>
          <w:iCs/>
          <w:sz w:val="20"/>
          <w:szCs w:val="20"/>
        </w:rPr>
        <w:t>Journal of Terrorism and Political Violence</w:t>
      </w:r>
      <w:r w:rsidR="007723F1" w:rsidRPr="005F7E20">
        <w:rPr>
          <w:rFonts w:asciiTheme="minorHAnsi" w:hAnsiTheme="minorHAnsi" w:cstheme="minorHAnsi"/>
          <w:sz w:val="20"/>
          <w:szCs w:val="20"/>
        </w:rPr>
        <w:t xml:space="preserve">, Vol. 20, No. 3 </w:t>
      </w:r>
      <w:r w:rsidR="009A20B8" w:rsidRPr="005F7E20">
        <w:rPr>
          <w:rFonts w:asciiTheme="minorHAnsi" w:hAnsiTheme="minorHAnsi" w:cstheme="minorHAnsi"/>
          <w:sz w:val="20"/>
          <w:szCs w:val="20"/>
        </w:rPr>
        <w:t>(</w:t>
      </w:r>
      <w:r w:rsidR="007723F1" w:rsidRPr="005F7E20">
        <w:rPr>
          <w:rFonts w:asciiTheme="minorHAnsi" w:hAnsiTheme="minorHAnsi" w:cstheme="minorHAnsi"/>
          <w:sz w:val="20"/>
          <w:szCs w:val="20"/>
        </w:rPr>
        <w:t>July 2008</w:t>
      </w:r>
      <w:r w:rsidR="009A20B8" w:rsidRPr="005F7E20">
        <w:rPr>
          <w:rFonts w:asciiTheme="minorHAnsi" w:hAnsiTheme="minorHAnsi" w:cstheme="minorHAnsi"/>
          <w:sz w:val="20"/>
          <w:szCs w:val="20"/>
        </w:rPr>
        <w:t>)</w:t>
      </w:r>
      <w:r w:rsidR="007723F1" w:rsidRPr="005F7E20">
        <w:rPr>
          <w:rFonts w:asciiTheme="minorHAnsi" w:hAnsiTheme="minorHAnsi" w:cstheme="minorHAnsi"/>
          <w:sz w:val="20"/>
          <w:szCs w:val="20"/>
        </w:rPr>
        <w:t>.</w:t>
      </w:r>
    </w:p>
  </w:footnote>
  <w:footnote w:id="12">
    <w:p w14:paraId="663A4A79" w14:textId="15578AB5" w:rsidR="005F7E20" w:rsidRPr="005F7E20" w:rsidRDefault="005F7E20">
      <w:pPr>
        <w:pStyle w:val="FootnoteText"/>
        <w:rPr>
          <w:sz w:val="20"/>
          <w:szCs w:val="20"/>
        </w:rPr>
      </w:pPr>
      <w:r w:rsidRPr="005F7E20">
        <w:rPr>
          <w:rStyle w:val="FootnoteReference"/>
          <w:sz w:val="20"/>
          <w:szCs w:val="20"/>
        </w:rPr>
        <w:footnoteRef/>
      </w:r>
      <w:r w:rsidRPr="005F7E20">
        <w:rPr>
          <w:sz w:val="20"/>
          <w:szCs w:val="20"/>
        </w:rPr>
        <w:t xml:space="preserve"> </w:t>
      </w:r>
      <w:r w:rsidRPr="005F7E20">
        <w:rPr>
          <w:rFonts w:eastAsia="Times New Roman" w:cstheme="minorHAnsi"/>
          <w:sz w:val="20"/>
          <w:szCs w:val="20"/>
        </w:rPr>
        <w:t xml:space="preserve">Gabe Mythen, Sandra </w:t>
      </w:r>
      <w:proofErr w:type="spellStart"/>
      <w:r w:rsidRPr="005F7E20">
        <w:rPr>
          <w:rFonts w:eastAsia="Times New Roman" w:cstheme="minorHAnsi"/>
          <w:sz w:val="20"/>
          <w:szCs w:val="20"/>
        </w:rPr>
        <w:t>Walklate</w:t>
      </w:r>
      <w:proofErr w:type="spellEnd"/>
      <w:r w:rsidRPr="005F7E20">
        <w:rPr>
          <w:rFonts w:eastAsia="Times New Roman" w:cstheme="minorHAnsi"/>
          <w:sz w:val="20"/>
          <w:szCs w:val="20"/>
        </w:rPr>
        <w:t xml:space="preserve"> and Elizabeth-Jane </w:t>
      </w:r>
      <w:proofErr w:type="spellStart"/>
      <w:r w:rsidRPr="005F7E20">
        <w:rPr>
          <w:rFonts w:eastAsia="Times New Roman" w:cstheme="minorHAnsi"/>
          <w:sz w:val="20"/>
          <w:szCs w:val="20"/>
        </w:rPr>
        <w:t>Peatfield</w:t>
      </w:r>
      <w:proofErr w:type="spellEnd"/>
      <w:r w:rsidRPr="005F7E20">
        <w:rPr>
          <w:rFonts w:eastAsia="Times New Roman" w:cstheme="minorHAnsi"/>
          <w:sz w:val="20"/>
          <w:szCs w:val="20"/>
        </w:rPr>
        <w:t xml:space="preserve">, </w:t>
      </w:r>
      <w:r w:rsidRPr="005F7E20">
        <w:rPr>
          <w:rFonts w:eastAsia="Times New Roman" w:cstheme="minorHAnsi"/>
          <w:i/>
          <w:iCs/>
          <w:sz w:val="20"/>
          <w:szCs w:val="20"/>
        </w:rPr>
        <w:t xml:space="preserve">Assembling and Deconstructing </w:t>
      </w:r>
      <w:proofErr w:type="spellStart"/>
      <w:r w:rsidRPr="005F7E20">
        <w:rPr>
          <w:rFonts w:eastAsia="Times New Roman" w:cstheme="minorHAnsi"/>
          <w:i/>
          <w:iCs/>
          <w:sz w:val="20"/>
          <w:szCs w:val="20"/>
        </w:rPr>
        <w:t>Radicalisation</w:t>
      </w:r>
      <w:proofErr w:type="spellEnd"/>
      <w:r w:rsidRPr="005F7E20">
        <w:rPr>
          <w:rFonts w:eastAsia="Times New Roman" w:cstheme="minorHAnsi"/>
          <w:i/>
          <w:iCs/>
          <w:sz w:val="20"/>
          <w:szCs w:val="20"/>
        </w:rPr>
        <w:t xml:space="preserve"> in Prevent: A case of policy-based evidence making?</w:t>
      </w:r>
      <w:r w:rsidRPr="005F7E20">
        <w:rPr>
          <w:rFonts w:eastAsia="Times New Roman" w:cstheme="minorHAnsi"/>
          <w:sz w:val="20"/>
          <w:szCs w:val="20"/>
        </w:rPr>
        <w:t>, Critical Social Policy, Vol. 37, No. 2 (2017) at 186</w:t>
      </w:r>
      <w:r w:rsidR="00F312E2">
        <w:rPr>
          <w:rFonts w:eastAsia="Times New Roman" w:cstheme="minorHAnsi"/>
          <w:sz w:val="20"/>
          <w:szCs w:val="20"/>
        </w:rPr>
        <w:t>.</w:t>
      </w:r>
    </w:p>
  </w:footnote>
  <w:footnote w:id="13">
    <w:p w14:paraId="1C7F5A9D" w14:textId="6B4912C9" w:rsidR="004D03F2" w:rsidRPr="00D80FCC" w:rsidRDefault="004D03F2" w:rsidP="004D03F2">
      <w:pPr>
        <w:pStyle w:val="FootnoteText"/>
        <w:jc w:val="both"/>
        <w:rPr>
          <w:sz w:val="20"/>
          <w:szCs w:val="20"/>
        </w:rPr>
      </w:pPr>
      <w:r w:rsidRPr="00D80FCC">
        <w:rPr>
          <w:rStyle w:val="FootnoteReference"/>
          <w:rFonts w:cstheme="minorHAnsi"/>
          <w:sz w:val="20"/>
          <w:szCs w:val="20"/>
        </w:rPr>
        <w:footnoteRef/>
      </w:r>
      <w:r w:rsidRPr="00D80FCC">
        <w:rPr>
          <w:rFonts w:cstheme="minorHAnsi"/>
          <w:sz w:val="20"/>
          <w:szCs w:val="20"/>
        </w:rPr>
        <w:t xml:space="preserve"> Catherine McGlynn and Shaun McDaid, </w:t>
      </w:r>
      <w:r w:rsidR="00CB6804">
        <w:rPr>
          <w:rFonts w:cstheme="minorHAnsi"/>
          <w:i/>
          <w:iCs/>
          <w:sz w:val="20"/>
          <w:szCs w:val="20"/>
        </w:rPr>
        <w:t xml:space="preserve">supra </w:t>
      </w:r>
      <w:r w:rsidR="00CB6804" w:rsidRPr="00CB6804">
        <w:rPr>
          <w:rFonts w:cstheme="minorHAnsi"/>
          <w:sz w:val="20"/>
          <w:szCs w:val="20"/>
        </w:rPr>
        <w:t>note 4,</w:t>
      </w:r>
      <w:r w:rsidRPr="00D80FCC">
        <w:rPr>
          <w:rFonts w:cstheme="minorHAnsi"/>
          <w:sz w:val="20"/>
          <w:szCs w:val="20"/>
        </w:rPr>
        <w:t xml:space="preserve"> at 23.</w:t>
      </w:r>
    </w:p>
  </w:footnote>
  <w:footnote w:id="14">
    <w:p w14:paraId="0EF75125" w14:textId="7E4E1A65" w:rsidR="00E32002" w:rsidRPr="00FB2F0D" w:rsidRDefault="00E32002" w:rsidP="00E32002">
      <w:pPr>
        <w:pStyle w:val="FootnoteText"/>
        <w:rPr>
          <w:sz w:val="20"/>
          <w:szCs w:val="20"/>
        </w:rPr>
      </w:pPr>
      <w:r w:rsidRPr="005F7E20">
        <w:rPr>
          <w:rStyle w:val="FootnoteReference"/>
          <w:sz w:val="20"/>
          <w:szCs w:val="20"/>
        </w:rPr>
        <w:footnoteRef/>
      </w:r>
      <w:r w:rsidRPr="005F7E20">
        <w:rPr>
          <w:sz w:val="20"/>
          <w:szCs w:val="20"/>
        </w:rPr>
        <w:t xml:space="preserve"> Daniel</w:t>
      </w:r>
      <w:r w:rsidRPr="00FB2F0D">
        <w:rPr>
          <w:sz w:val="20"/>
          <w:szCs w:val="20"/>
        </w:rPr>
        <w:t xml:space="preserve"> Koehler and Verena </w:t>
      </w:r>
      <w:proofErr w:type="spellStart"/>
      <w:r w:rsidRPr="00FB2F0D">
        <w:rPr>
          <w:sz w:val="20"/>
          <w:szCs w:val="20"/>
        </w:rPr>
        <w:t>Fiebig</w:t>
      </w:r>
      <w:proofErr w:type="spellEnd"/>
      <w:r w:rsidRPr="00FB2F0D">
        <w:rPr>
          <w:sz w:val="20"/>
          <w:szCs w:val="20"/>
        </w:rPr>
        <w:t xml:space="preserve">, </w:t>
      </w:r>
      <w:r w:rsidRPr="00FB2F0D">
        <w:rPr>
          <w:i/>
          <w:iCs/>
          <w:sz w:val="20"/>
          <w:szCs w:val="20"/>
        </w:rPr>
        <w:t>Knowing What to Do: Academic and Practitioner Understanding of How to Counter Violent Radicalization</w:t>
      </w:r>
      <w:r w:rsidRPr="00FB2F0D">
        <w:rPr>
          <w:sz w:val="20"/>
          <w:szCs w:val="20"/>
        </w:rPr>
        <w:t>, Perspectives on Terrorism, Vol. 13, No. 3 (June 2019) at 44</w:t>
      </w:r>
      <w:r w:rsidR="00F312E2">
        <w:rPr>
          <w:sz w:val="20"/>
          <w:szCs w:val="20"/>
        </w:rPr>
        <w:t>.</w:t>
      </w:r>
    </w:p>
  </w:footnote>
  <w:footnote w:id="15">
    <w:p w14:paraId="4D999F74" w14:textId="5E5AD1F6" w:rsidR="009421C4" w:rsidRPr="008325F8" w:rsidRDefault="009421C4" w:rsidP="00B20B22">
      <w:pPr>
        <w:pStyle w:val="FootnoteText"/>
        <w:jc w:val="both"/>
        <w:rPr>
          <w:rFonts w:cstheme="minorHAnsi"/>
          <w:sz w:val="20"/>
          <w:szCs w:val="20"/>
        </w:rPr>
      </w:pPr>
      <w:r w:rsidRPr="008325F8">
        <w:rPr>
          <w:rStyle w:val="FootnoteReference"/>
          <w:rFonts w:cstheme="minorHAnsi"/>
          <w:sz w:val="20"/>
          <w:szCs w:val="20"/>
        </w:rPr>
        <w:footnoteRef/>
      </w:r>
      <w:r w:rsidRPr="008325F8">
        <w:rPr>
          <w:rFonts w:cstheme="minorHAnsi"/>
          <w:sz w:val="20"/>
          <w:szCs w:val="20"/>
        </w:rPr>
        <w:t xml:space="preserve"> Tom Parker, </w:t>
      </w:r>
      <w:r w:rsidRPr="008325F8">
        <w:rPr>
          <w:rFonts w:cstheme="minorHAnsi"/>
          <w:i/>
          <w:iCs/>
          <w:sz w:val="20"/>
          <w:szCs w:val="20"/>
        </w:rPr>
        <w:t>Avoiding the Terrorist Trap: Why Respect for Human Rights is the Key to Defeating Terrorism</w:t>
      </w:r>
      <w:r w:rsidRPr="008325F8">
        <w:rPr>
          <w:rFonts w:cstheme="minorHAnsi"/>
          <w:sz w:val="20"/>
          <w:szCs w:val="20"/>
        </w:rPr>
        <w:t xml:space="preserve"> (World Scientific Press; 2018) in Part II</w:t>
      </w:r>
      <w:r w:rsidR="009A20B8" w:rsidRPr="008325F8">
        <w:rPr>
          <w:rFonts w:cstheme="minorHAnsi"/>
          <w:sz w:val="20"/>
          <w:szCs w:val="20"/>
        </w:rPr>
        <w:t>.</w:t>
      </w:r>
    </w:p>
  </w:footnote>
  <w:footnote w:id="16">
    <w:p w14:paraId="5FF65D1A" w14:textId="4B08DDA7" w:rsidR="00A22F13" w:rsidRPr="00CB6804" w:rsidRDefault="00A22F13" w:rsidP="00B20B22">
      <w:pPr>
        <w:pStyle w:val="FootnoteText"/>
        <w:jc w:val="both"/>
        <w:rPr>
          <w:rFonts w:cstheme="minorHAnsi"/>
          <w:sz w:val="20"/>
          <w:szCs w:val="20"/>
        </w:rPr>
      </w:pPr>
      <w:r w:rsidRPr="00CB6804">
        <w:rPr>
          <w:rStyle w:val="FootnoteReference"/>
          <w:rFonts w:cstheme="minorHAnsi"/>
          <w:sz w:val="20"/>
          <w:szCs w:val="20"/>
        </w:rPr>
        <w:footnoteRef/>
      </w:r>
      <w:r w:rsidRPr="00CB6804">
        <w:rPr>
          <w:rFonts w:cstheme="minorHAnsi"/>
          <w:sz w:val="20"/>
          <w:szCs w:val="20"/>
        </w:rPr>
        <w:t xml:space="preserve"> </w:t>
      </w:r>
      <w:r w:rsidR="00E5437D" w:rsidRPr="00CB6804">
        <w:rPr>
          <w:rFonts w:cstheme="minorHAnsi"/>
          <w:sz w:val="20"/>
          <w:szCs w:val="20"/>
        </w:rPr>
        <w:t>Monica Lloyd and Christopher Dean,</w:t>
      </w:r>
      <w:r w:rsidR="00CB6804" w:rsidRPr="00CB6804">
        <w:rPr>
          <w:rFonts w:cstheme="minorHAnsi"/>
          <w:sz w:val="20"/>
          <w:szCs w:val="20"/>
        </w:rPr>
        <w:t xml:space="preserve"> </w:t>
      </w:r>
      <w:r w:rsidR="00CB6804" w:rsidRPr="00CB6804">
        <w:rPr>
          <w:rFonts w:cstheme="minorHAnsi"/>
          <w:i/>
          <w:iCs/>
          <w:sz w:val="20"/>
          <w:szCs w:val="20"/>
        </w:rPr>
        <w:t>supra</w:t>
      </w:r>
      <w:r w:rsidR="00CB6804" w:rsidRPr="00CB6804">
        <w:rPr>
          <w:rFonts w:cstheme="minorHAnsi"/>
          <w:sz w:val="20"/>
          <w:szCs w:val="20"/>
        </w:rPr>
        <w:t xml:space="preserve"> note 4,</w:t>
      </w:r>
      <w:r w:rsidR="00E5437D" w:rsidRPr="00CB6804">
        <w:rPr>
          <w:rFonts w:cstheme="minorHAnsi"/>
          <w:sz w:val="20"/>
          <w:szCs w:val="20"/>
        </w:rPr>
        <w:t xml:space="preserve"> at </w:t>
      </w:r>
      <w:r w:rsidR="006D7281" w:rsidRPr="00CB6804">
        <w:rPr>
          <w:rFonts w:cstheme="minorHAnsi"/>
          <w:sz w:val="20"/>
          <w:szCs w:val="20"/>
        </w:rPr>
        <w:t>43</w:t>
      </w:r>
      <w:r w:rsidR="00F312E2" w:rsidRPr="00CB6804">
        <w:rPr>
          <w:rFonts w:cstheme="minorHAnsi"/>
          <w:sz w:val="20"/>
          <w:szCs w:val="20"/>
        </w:rPr>
        <w:t>.</w:t>
      </w:r>
    </w:p>
  </w:footnote>
  <w:footnote w:id="17">
    <w:p w14:paraId="7C87BC77" w14:textId="4A2E21F3" w:rsidR="00C80720" w:rsidRPr="00CB6804" w:rsidRDefault="00C80720">
      <w:pPr>
        <w:pStyle w:val="FootnoteText"/>
        <w:rPr>
          <w:rFonts w:cstheme="minorHAnsi"/>
          <w:sz w:val="20"/>
          <w:szCs w:val="20"/>
        </w:rPr>
      </w:pPr>
      <w:r w:rsidRPr="00CB6804">
        <w:rPr>
          <w:rStyle w:val="FootnoteReference"/>
          <w:rFonts w:cstheme="minorHAnsi"/>
          <w:sz w:val="20"/>
          <w:szCs w:val="20"/>
        </w:rPr>
        <w:footnoteRef/>
      </w:r>
      <w:r w:rsidRPr="00CB6804">
        <w:rPr>
          <w:rFonts w:cstheme="minorHAnsi"/>
          <w:sz w:val="20"/>
          <w:szCs w:val="20"/>
        </w:rPr>
        <w:t xml:space="preserve"> </w:t>
      </w:r>
      <w:r w:rsidRPr="00CB6804">
        <w:rPr>
          <w:rFonts w:eastAsia="Times New Roman" w:cstheme="minorHAnsi"/>
          <w:sz w:val="20"/>
          <w:szCs w:val="20"/>
        </w:rPr>
        <w:t xml:space="preserve">Gabe Mythen, Sandra </w:t>
      </w:r>
      <w:proofErr w:type="spellStart"/>
      <w:r w:rsidRPr="00CB6804">
        <w:rPr>
          <w:rFonts w:eastAsia="Times New Roman" w:cstheme="minorHAnsi"/>
          <w:sz w:val="20"/>
          <w:szCs w:val="20"/>
        </w:rPr>
        <w:t>Walklate</w:t>
      </w:r>
      <w:proofErr w:type="spellEnd"/>
      <w:r w:rsidRPr="00CB6804">
        <w:rPr>
          <w:rFonts w:eastAsia="Times New Roman" w:cstheme="minorHAnsi"/>
          <w:sz w:val="20"/>
          <w:szCs w:val="20"/>
        </w:rPr>
        <w:t xml:space="preserve"> and Elizabeth-Jane </w:t>
      </w:r>
      <w:proofErr w:type="spellStart"/>
      <w:r w:rsidRPr="00CB6804">
        <w:rPr>
          <w:rFonts w:eastAsia="Times New Roman" w:cstheme="minorHAnsi"/>
          <w:sz w:val="20"/>
          <w:szCs w:val="20"/>
        </w:rPr>
        <w:t>Peatfield</w:t>
      </w:r>
      <w:proofErr w:type="spellEnd"/>
      <w:r w:rsidRPr="00CB6804">
        <w:rPr>
          <w:rFonts w:eastAsia="Times New Roman" w:cstheme="minorHAnsi"/>
          <w:sz w:val="20"/>
          <w:szCs w:val="20"/>
        </w:rPr>
        <w:t xml:space="preserve">, </w:t>
      </w:r>
      <w:r w:rsidR="00CB6804" w:rsidRPr="00CB6804">
        <w:rPr>
          <w:rFonts w:eastAsia="Times New Roman" w:cstheme="minorHAnsi"/>
          <w:i/>
          <w:iCs/>
          <w:sz w:val="20"/>
          <w:szCs w:val="20"/>
        </w:rPr>
        <w:t xml:space="preserve">supra </w:t>
      </w:r>
      <w:r w:rsidR="00CB6804" w:rsidRPr="00CB6804">
        <w:rPr>
          <w:rFonts w:eastAsia="Times New Roman" w:cstheme="minorHAnsi"/>
          <w:sz w:val="20"/>
          <w:szCs w:val="20"/>
        </w:rPr>
        <w:t>note 12,</w:t>
      </w:r>
      <w:r w:rsidRPr="00CB6804">
        <w:rPr>
          <w:rFonts w:eastAsia="Times New Roman" w:cstheme="minorHAnsi"/>
          <w:sz w:val="20"/>
          <w:szCs w:val="20"/>
        </w:rPr>
        <w:t xml:space="preserve"> at 186</w:t>
      </w:r>
      <w:r w:rsidR="00F312E2" w:rsidRPr="00CB6804">
        <w:rPr>
          <w:rFonts w:eastAsia="Times New Roman" w:cstheme="minorHAnsi"/>
          <w:sz w:val="20"/>
          <w:szCs w:val="20"/>
        </w:rPr>
        <w:t>.</w:t>
      </w:r>
    </w:p>
  </w:footnote>
  <w:footnote w:id="18">
    <w:p w14:paraId="7C6A2B4F" w14:textId="51657723" w:rsidR="00B61448" w:rsidRPr="00CB6804" w:rsidRDefault="00B61448" w:rsidP="00B20B22">
      <w:pPr>
        <w:jc w:val="both"/>
        <w:rPr>
          <w:rFonts w:asciiTheme="minorHAnsi" w:hAnsiTheme="minorHAnsi" w:cstheme="minorHAnsi"/>
          <w:sz w:val="20"/>
          <w:szCs w:val="20"/>
        </w:rPr>
      </w:pPr>
      <w:r w:rsidRPr="00CB6804">
        <w:rPr>
          <w:rStyle w:val="FootnoteReference"/>
          <w:rFonts w:asciiTheme="minorHAnsi" w:hAnsiTheme="minorHAnsi" w:cstheme="minorHAnsi"/>
          <w:sz w:val="20"/>
          <w:szCs w:val="20"/>
        </w:rPr>
        <w:footnoteRef/>
      </w:r>
      <w:r w:rsidRPr="00CB6804">
        <w:rPr>
          <w:rFonts w:asciiTheme="minorHAnsi" w:hAnsiTheme="minorHAnsi" w:cstheme="minorHAnsi"/>
          <w:sz w:val="20"/>
          <w:szCs w:val="20"/>
        </w:rPr>
        <w:t xml:space="preserve"> </w:t>
      </w:r>
      <w:r w:rsidR="00CB6804" w:rsidRPr="00CB6804">
        <w:rPr>
          <w:rFonts w:asciiTheme="minorHAnsi" w:hAnsiTheme="minorHAnsi" w:cstheme="minorHAnsi"/>
          <w:sz w:val="20"/>
          <w:szCs w:val="20"/>
        </w:rPr>
        <w:t xml:space="preserve">Catherine McGlynn and Shaun McDaid, </w:t>
      </w:r>
      <w:r w:rsidR="00CB6804" w:rsidRPr="00CB6804">
        <w:rPr>
          <w:rFonts w:asciiTheme="minorHAnsi" w:hAnsiTheme="minorHAnsi" w:cstheme="minorHAnsi"/>
          <w:i/>
          <w:iCs/>
          <w:sz w:val="20"/>
          <w:szCs w:val="20"/>
        </w:rPr>
        <w:t xml:space="preserve">supra </w:t>
      </w:r>
      <w:r w:rsidR="00CB6804" w:rsidRPr="00CB6804">
        <w:rPr>
          <w:rFonts w:asciiTheme="minorHAnsi" w:hAnsiTheme="minorHAnsi" w:cstheme="minorHAnsi"/>
          <w:sz w:val="20"/>
          <w:szCs w:val="20"/>
        </w:rPr>
        <w:t xml:space="preserve">note 4, </w:t>
      </w:r>
      <w:r w:rsidRPr="00CB6804">
        <w:rPr>
          <w:rFonts w:asciiTheme="minorHAnsi" w:hAnsiTheme="minorHAnsi" w:cstheme="minorHAnsi"/>
          <w:sz w:val="20"/>
          <w:szCs w:val="20"/>
        </w:rPr>
        <w:t>at</w:t>
      </w:r>
      <w:r w:rsidR="00005C86" w:rsidRPr="00CB6804">
        <w:rPr>
          <w:rFonts w:asciiTheme="minorHAnsi" w:hAnsiTheme="minorHAnsi" w:cstheme="minorHAnsi"/>
          <w:sz w:val="20"/>
          <w:szCs w:val="20"/>
        </w:rPr>
        <w:t xml:space="preserve"> 5</w:t>
      </w:r>
      <w:r w:rsidR="00CB6804">
        <w:rPr>
          <w:rFonts w:asciiTheme="minorHAnsi" w:hAnsiTheme="minorHAnsi" w:cstheme="minorHAnsi"/>
          <w:sz w:val="20"/>
          <w:szCs w:val="20"/>
        </w:rPr>
        <w:t>;</w:t>
      </w:r>
      <w:r w:rsidRPr="00CB6804">
        <w:rPr>
          <w:rFonts w:asciiTheme="minorHAnsi" w:hAnsiTheme="minorHAnsi" w:cstheme="minorHAnsi"/>
          <w:sz w:val="20"/>
          <w:szCs w:val="20"/>
        </w:rPr>
        <w:t xml:space="preserve"> </w:t>
      </w:r>
      <w:r w:rsidR="00B20B22" w:rsidRPr="00CB6804">
        <w:rPr>
          <w:rFonts w:asciiTheme="minorHAnsi" w:hAnsiTheme="minorHAnsi" w:cstheme="minorHAnsi"/>
          <w:sz w:val="20"/>
          <w:szCs w:val="20"/>
        </w:rPr>
        <w:t xml:space="preserve">Bill </w:t>
      </w:r>
      <w:proofErr w:type="spellStart"/>
      <w:r w:rsidR="00B20B22" w:rsidRPr="00CB6804">
        <w:rPr>
          <w:rFonts w:asciiTheme="minorHAnsi" w:hAnsiTheme="minorHAnsi" w:cstheme="minorHAnsi"/>
          <w:sz w:val="20"/>
          <w:szCs w:val="20"/>
        </w:rPr>
        <w:t>Durodié</w:t>
      </w:r>
      <w:proofErr w:type="spellEnd"/>
      <w:r w:rsidR="00B20B22" w:rsidRPr="00CB6804">
        <w:rPr>
          <w:rFonts w:asciiTheme="minorHAnsi" w:hAnsiTheme="minorHAnsi" w:cstheme="minorHAnsi"/>
          <w:sz w:val="20"/>
          <w:szCs w:val="20"/>
        </w:rPr>
        <w:t xml:space="preserve">, </w:t>
      </w:r>
      <w:proofErr w:type="spellStart"/>
      <w:r w:rsidR="00B20B22" w:rsidRPr="00CB6804">
        <w:rPr>
          <w:rFonts w:asciiTheme="minorHAnsi" w:hAnsiTheme="minorHAnsi" w:cstheme="minorHAnsi"/>
          <w:i/>
          <w:iCs/>
          <w:sz w:val="20"/>
          <w:szCs w:val="20"/>
        </w:rPr>
        <w:t>Securitising</w:t>
      </w:r>
      <w:proofErr w:type="spellEnd"/>
      <w:r w:rsidR="00B20B22" w:rsidRPr="00CB6804">
        <w:rPr>
          <w:rFonts w:asciiTheme="minorHAnsi" w:hAnsiTheme="minorHAnsi" w:cstheme="minorHAnsi"/>
          <w:i/>
          <w:iCs/>
          <w:sz w:val="20"/>
          <w:szCs w:val="20"/>
        </w:rPr>
        <w:t xml:space="preserve"> education to prevent terrorism or losing direction?</w:t>
      </w:r>
      <w:r w:rsidR="00B20B22" w:rsidRPr="00CB6804">
        <w:rPr>
          <w:rFonts w:asciiTheme="minorHAnsi" w:hAnsiTheme="minorHAnsi" w:cstheme="minorHAnsi"/>
          <w:sz w:val="20"/>
          <w:szCs w:val="20"/>
        </w:rPr>
        <w:t>, British Journal of Educational Studies, Vol. 64, No. 1 (2016) at 27</w:t>
      </w:r>
      <w:r w:rsidR="00CB6804">
        <w:rPr>
          <w:rFonts w:asciiTheme="minorHAnsi" w:hAnsiTheme="minorHAnsi" w:cstheme="minorHAnsi"/>
          <w:sz w:val="20"/>
          <w:szCs w:val="20"/>
        </w:rPr>
        <w:t>;</w:t>
      </w:r>
      <w:r w:rsidR="00B20B22" w:rsidRPr="00CB6804">
        <w:rPr>
          <w:rFonts w:asciiTheme="minorHAnsi" w:hAnsiTheme="minorHAnsi" w:cstheme="minorHAnsi"/>
          <w:sz w:val="20"/>
          <w:szCs w:val="20"/>
        </w:rPr>
        <w:t xml:space="preserve"> </w:t>
      </w:r>
      <w:r w:rsidR="007B0DCD" w:rsidRPr="00CB6804">
        <w:rPr>
          <w:rFonts w:asciiTheme="minorHAnsi" w:hAnsiTheme="minorHAnsi" w:cstheme="minorHAnsi"/>
          <w:sz w:val="20"/>
          <w:szCs w:val="20"/>
        </w:rPr>
        <w:t xml:space="preserve">Stijn </w:t>
      </w:r>
      <w:proofErr w:type="spellStart"/>
      <w:r w:rsidR="00B01F3F" w:rsidRPr="00CB6804">
        <w:rPr>
          <w:rFonts w:asciiTheme="minorHAnsi" w:hAnsiTheme="minorHAnsi" w:cstheme="minorHAnsi"/>
          <w:sz w:val="20"/>
          <w:szCs w:val="20"/>
        </w:rPr>
        <w:t>Sieckelinck</w:t>
      </w:r>
      <w:proofErr w:type="spellEnd"/>
      <w:r w:rsidR="007B0DCD" w:rsidRPr="00CB6804">
        <w:rPr>
          <w:rFonts w:asciiTheme="minorHAnsi" w:hAnsiTheme="minorHAnsi" w:cstheme="minorHAnsi"/>
          <w:sz w:val="20"/>
          <w:szCs w:val="20"/>
        </w:rPr>
        <w:t xml:space="preserve">, </w:t>
      </w:r>
      <w:proofErr w:type="spellStart"/>
      <w:r w:rsidR="007B0DCD" w:rsidRPr="00CB6804">
        <w:rPr>
          <w:rFonts w:asciiTheme="minorHAnsi" w:hAnsiTheme="minorHAnsi" w:cstheme="minorHAnsi"/>
          <w:sz w:val="20"/>
          <w:szCs w:val="20"/>
        </w:rPr>
        <w:t>Femke</w:t>
      </w:r>
      <w:proofErr w:type="spellEnd"/>
      <w:r w:rsidR="007B0DCD" w:rsidRPr="00CB6804">
        <w:rPr>
          <w:rFonts w:asciiTheme="minorHAnsi" w:hAnsiTheme="minorHAnsi" w:cstheme="minorHAnsi"/>
          <w:sz w:val="20"/>
          <w:szCs w:val="20"/>
        </w:rPr>
        <w:t xml:space="preserve"> </w:t>
      </w:r>
      <w:proofErr w:type="spellStart"/>
      <w:r w:rsidR="007B0DCD" w:rsidRPr="00CB6804">
        <w:rPr>
          <w:rFonts w:asciiTheme="minorHAnsi" w:hAnsiTheme="minorHAnsi" w:cstheme="minorHAnsi"/>
          <w:sz w:val="20"/>
          <w:szCs w:val="20"/>
        </w:rPr>
        <w:t>Kaulingfreks</w:t>
      </w:r>
      <w:proofErr w:type="spellEnd"/>
      <w:r w:rsidR="007B0DCD" w:rsidRPr="00CB6804">
        <w:rPr>
          <w:rFonts w:asciiTheme="minorHAnsi" w:hAnsiTheme="minorHAnsi" w:cstheme="minorHAnsi"/>
          <w:sz w:val="20"/>
          <w:szCs w:val="20"/>
        </w:rPr>
        <w:t xml:space="preserve"> and Micha de Winter, </w:t>
      </w:r>
      <w:r w:rsidR="007B0DCD" w:rsidRPr="00CB6804">
        <w:rPr>
          <w:rFonts w:asciiTheme="minorHAnsi" w:hAnsiTheme="minorHAnsi" w:cstheme="minorHAnsi"/>
          <w:i/>
          <w:iCs/>
          <w:sz w:val="20"/>
          <w:szCs w:val="20"/>
        </w:rPr>
        <w:t xml:space="preserve">Neither Villains Nor Victims: Towards an Educational Perspective on </w:t>
      </w:r>
      <w:proofErr w:type="spellStart"/>
      <w:r w:rsidR="007B0DCD" w:rsidRPr="00CB6804">
        <w:rPr>
          <w:rFonts w:asciiTheme="minorHAnsi" w:hAnsiTheme="minorHAnsi" w:cstheme="minorHAnsi"/>
          <w:i/>
          <w:iCs/>
          <w:sz w:val="20"/>
          <w:szCs w:val="20"/>
        </w:rPr>
        <w:t>Radicalisation</w:t>
      </w:r>
      <w:proofErr w:type="spellEnd"/>
      <w:r w:rsidR="007B0DCD" w:rsidRPr="00CB6804">
        <w:rPr>
          <w:rFonts w:asciiTheme="minorHAnsi" w:hAnsiTheme="minorHAnsi" w:cstheme="minorHAnsi"/>
          <w:sz w:val="20"/>
          <w:szCs w:val="20"/>
        </w:rPr>
        <w:t>, British Journal of Educational Studies, Vol. 63, No. 3 (September 2015) at 335</w:t>
      </w:r>
      <w:r w:rsidR="00CB6804">
        <w:rPr>
          <w:rFonts w:asciiTheme="minorHAnsi" w:hAnsiTheme="minorHAnsi" w:cstheme="minorHAnsi"/>
          <w:sz w:val="20"/>
          <w:szCs w:val="20"/>
        </w:rPr>
        <w:t>;</w:t>
      </w:r>
      <w:r w:rsidR="007B0DCD" w:rsidRPr="00CB6804">
        <w:rPr>
          <w:rFonts w:asciiTheme="minorHAnsi" w:hAnsiTheme="minorHAnsi" w:cstheme="minorHAnsi"/>
          <w:sz w:val="20"/>
          <w:szCs w:val="20"/>
        </w:rPr>
        <w:t xml:space="preserve"> </w:t>
      </w:r>
      <w:r w:rsidR="00B66F53" w:rsidRPr="00CB6804">
        <w:rPr>
          <w:rFonts w:asciiTheme="minorHAnsi" w:hAnsiTheme="minorHAnsi" w:cstheme="minorHAnsi"/>
          <w:sz w:val="20"/>
          <w:szCs w:val="20"/>
        </w:rPr>
        <w:t xml:space="preserve">Anthony </w:t>
      </w:r>
      <w:r w:rsidR="004B594E" w:rsidRPr="00CB6804">
        <w:rPr>
          <w:rFonts w:asciiTheme="minorHAnsi" w:hAnsiTheme="minorHAnsi" w:cstheme="minorHAnsi"/>
          <w:sz w:val="20"/>
          <w:szCs w:val="20"/>
        </w:rPr>
        <w:t xml:space="preserve">Richards, </w:t>
      </w:r>
      <w:r w:rsidR="004B594E" w:rsidRPr="00CB6804">
        <w:rPr>
          <w:rFonts w:asciiTheme="minorHAnsi" w:hAnsiTheme="minorHAnsi" w:cstheme="minorHAnsi"/>
          <w:i/>
          <w:iCs/>
          <w:sz w:val="20"/>
          <w:szCs w:val="20"/>
        </w:rPr>
        <w:t>The Problem with ‘</w:t>
      </w:r>
      <w:proofErr w:type="spellStart"/>
      <w:r w:rsidR="004B594E" w:rsidRPr="00CB6804">
        <w:rPr>
          <w:rFonts w:asciiTheme="minorHAnsi" w:hAnsiTheme="minorHAnsi" w:cstheme="minorHAnsi"/>
          <w:i/>
          <w:iCs/>
          <w:sz w:val="20"/>
          <w:szCs w:val="20"/>
        </w:rPr>
        <w:t>Radicalisation</w:t>
      </w:r>
      <w:proofErr w:type="spellEnd"/>
      <w:r w:rsidR="004B594E" w:rsidRPr="00CB6804">
        <w:rPr>
          <w:rFonts w:asciiTheme="minorHAnsi" w:hAnsiTheme="minorHAnsi" w:cstheme="minorHAnsi"/>
          <w:i/>
          <w:iCs/>
          <w:sz w:val="20"/>
          <w:szCs w:val="20"/>
        </w:rPr>
        <w:t>’: The remit of ‘Prevent’ and the Need to Refocus on Terrorism in the UK</w:t>
      </w:r>
      <w:r w:rsidR="004B594E" w:rsidRPr="00CB6804">
        <w:rPr>
          <w:rFonts w:asciiTheme="minorHAnsi" w:hAnsiTheme="minorHAnsi" w:cstheme="minorHAnsi"/>
          <w:sz w:val="20"/>
          <w:szCs w:val="20"/>
        </w:rPr>
        <w:t>, International Affairs, Vol. 87 (2011)</w:t>
      </w:r>
      <w:r w:rsidR="00B66F53" w:rsidRPr="00CB6804">
        <w:rPr>
          <w:rFonts w:asciiTheme="minorHAnsi" w:hAnsiTheme="minorHAnsi" w:cstheme="minorHAnsi"/>
          <w:sz w:val="20"/>
          <w:szCs w:val="20"/>
        </w:rPr>
        <w:t xml:space="preserve"> at 150</w:t>
      </w:r>
      <w:r w:rsidR="00CB6804">
        <w:rPr>
          <w:rFonts w:asciiTheme="minorHAnsi" w:hAnsiTheme="minorHAnsi" w:cstheme="minorHAnsi"/>
          <w:sz w:val="20"/>
          <w:szCs w:val="20"/>
        </w:rPr>
        <w:t>;</w:t>
      </w:r>
      <w:r w:rsidR="004B594E" w:rsidRPr="00CB6804">
        <w:rPr>
          <w:rFonts w:asciiTheme="minorHAnsi" w:hAnsiTheme="minorHAnsi" w:cstheme="minorHAnsi"/>
          <w:sz w:val="20"/>
          <w:szCs w:val="20"/>
        </w:rPr>
        <w:t xml:space="preserve"> </w:t>
      </w:r>
      <w:r w:rsidRPr="00CB6804">
        <w:rPr>
          <w:rFonts w:asciiTheme="minorHAnsi" w:hAnsiTheme="minorHAnsi" w:cstheme="minorHAnsi"/>
          <w:sz w:val="20"/>
          <w:szCs w:val="20"/>
        </w:rPr>
        <w:t xml:space="preserve">and Arun </w:t>
      </w:r>
      <w:proofErr w:type="spellStart"/>
      <w:r w:rsidRPr="00CB6804">
        <w:rPr>
          <w:rFonts w:asciiTheme="minorHAnsi" w:hAnsiTheme="minorHAnsi" w:cstheme="minorHAnsi"/>
          <w:sz w:val="20"/>
          <w:szCs w:val="20"/>
        </w:rPr>
        <w:t>Kundnani</w:t>
      </w:r>
      <w:proofErr w:type="spellEnd"/>
      <w:r w:rsidRPr="00CB6804">
        <w:rPr>
          <w:rFonts w:asciiTheme="minorHAnsi" w:hAnsiTheme="minorHAnsi" w:cstheme="minorHAnsi"/>
          <w:sz w:val="20"/>
          <w:szCs w:val="20"/>
        </w:rPr>
        <w:t xml:space="preserve">, </w:t>
      </w:r>
      <w:proofErr w:type="spellStart"/>
      <w:r w:rsidRPr="00CB6804">
        <w:rPr>
          <w:rFonts w:asciiTheme="minorHAnsi" w:hAnsiTheme="minorHAnsi" w:cstheme="minorHAnsi"/>
          <w:i/>
          <w:iCs/>
          <w:sz w:val="20"/>
          <w:szCs w:val="20"/>
        </w:rPr>
        <w:t>Radicalisation</w:t>
      </w:r>
      <w:proofErr w:type="spellEnd"/>
      <w:r w:rsidRPr="00CB6804">
        <w:rPr>
          <w:rFonts w:asciiTheme="minorHAnsi" w:hAnsiTheme="minorHAnsi" w:cstheme="minorHAnsi"/>
          <w:i/>
          <w:iCs/>
          <w:sz w:val="20"/>
          <w:szCs w:val="20"/>
        </w:rPr>
        <w:t>: The Journey of a Concept</w:t>
      </w:r>
      <w:r w:rsidRPr="00CB6804">
        <w:rPr>
          <w:rFonts w:asciiTheme="minorHAnsi" w:hAnsiTheme="minorHAnsi" w:cstheme="minorHAnsi"/>
          <w:sz w:val="20"/>
          <w:szCs w:val="20"/>
        </w:rPr>
        <w:t>, Race and Class, Vol. 54, No. 2 (2012)</w:t>
      </w:r>
      <w:r w:rsidR="00F312E2" w:rsidRPr="00CB6804">
        <w:rPr>
          <w:rFonts w:asciiTheme="minorHAnsi" w:hAnsiTheme="minorHAnsi" w:cstheme="minorHAnsi"/>
          <w:sz w:val="20"/>
          <w:szCs w:val="20"/>
        </w:rPr>
        <w:t>.</w:t>
      </w:r>
    </w:p>
  </w:footnote>
  <w:footnote w:id="19">
    <w:p w14:paraId="3CD4A1F3" w14:textId="4EB6E6AC" w:rsidR="007D5A2F" w:rsidRPr="00F9088A" w:rsidRDefault="007D5A2F" w:rsidP="007D5A2F">
      <w:pPr>
        <w:jc w:val="both"/>
        <w:rPr>
          <w:rFonts w:cstheme="minorHAnsi"/>
          <w:color w:val="000000" w:themeColor="text1"/>
          <w:sz w:val="20"/>
          <w:szCs w:val="20"/>
        </w:rPr>
      </w:pPr>
      <w:r w:rsidRPr="00CB6804">
        <w:rPr>
          <w:rStyle w:val="FootnoteReference"/>
          <w:rFonts w:asciiTheme="minorHAnsi" w:hAnsiTheme="minorHAnsi" w:cstheme="minorHAnsi"/>
          <w:sz w:val="20"/>
          <w:szCs w:val="20"/>
        </w:rPr>
        <w:footnoteRef/>
      </w:r>
      <w:r w:rsidRPr="00CB6804">
        <w:rPr>
          <w:rFonts w:asciiTheme="minorHAnsi" w:hAnsiTheme="minorHAnsi" w:cstheme="minorHAnsi"/>
          <w:sz w:val="20"/>
          <w:szCs w:val="20"/>
        </w:rPr>
        <w:t xml:space="preserve"> </w:t>
      </w:r>
      <w:r w:rsidRPr="00CB6804">
        <w:rPr>
          <w:rFonts w:asciiTheme="minorHAnsi" w:hAnsiTheme="minorHAnsi" w:cstheme="minorHAnsi"/>
          <w:color w:val="000000" w:themeColor="text1"/>
          <w:sz w:val="20"/>
          <w:szCs w:val="20"/>
        </w:rPr>
        <w:t xml:space="preserve">Human Rights Council, </w:t>
      </w:r>
      <w:r w:rsidRPr="000B1613">
        <w:rPr>
          <w:rFonts w:asciiTheme="minorHAnsi" w:hAnsiTheme="minorHAnsi" w:cstheme="minorHAnsi"/>
          <w:i/>
          <w:iCs/>
          <w:color w:val="000000" w:themeColor="text1"/>
          <w:sz w:val="20"/>
          <w:szCs w:val="20"/>
        </w:rPr>
        <w:t>Report of the Special Rapporteur on the promotion and protection of human rights and fundamental freedoms while countering terrorism</w:t>
      </w:r>
      <w:r w:rsidRPr="008325F8">
        <w:rPr>
          <w:rFonts w:asciiTheme="minorHAnsi" w:hAnsiTheme="minorHAnsi" w:cstheme="minorHAnsi"/>
          <w:color w:val="000000" w:themeColor="text1"/>
          <w:sz w:val="20"/>
          <w:szCs w:val="20"/>
        </w:rPr>
        <w:t>, A/HRC/31/65, 22 February 2016, at 7</w:t>
      </w:r>
      <w:r w:rsidR="00F312E2">
        <w:rPr>
          <w:rFonts w:asciiTheme="minorHAnsi" w:hAnsiTheme="minorHAnsi" w:cstheme="minorHAnsi"/>
          <w:color w:val="000000" w:themeColor="text1"/>
          <w:sz w:val="20"/>
          <w:szCs w:val="20"/>
        </w:rPr>
        <w:t>.</w:t>
      </w:r>
    </w:p>
  </w:footnote>
  <w:footnote w:id="20">
    <w:p w14:paraId="0133E43E" w14:textId="4E02D2E2" w:rsidR="00D861A6" w:rsidRPr="00134370" w:rsidRDefault="00D861A6" w:rsidP="00B20B22">
      <w:pPr>
        <w:jc w:val="both"/>
        <w:rPr>
          <w:rFonts w:asciiTheme="minorHAnsi" w:hAnsiTheme="minorHAnsi" w:cstheme="minorHAnsi"/>
          <w:color w:val="000000" w:themeColor="text1"/>
          <w:sz w:val="20"/>
          <w:szCs w:val="20"/>
        </w:rPr>
      </w:pPr>
      <w:r w:rsidRPr="00134370">
        <w:rPr>
          <w:rStyle w:val="FootnoteReference"/>
          <w:rFonts w:asciiTheme="minorHAnsi" w:hAnsiTheme="minorHAnsi" w:cstheme="minorHAnsi"/>
          <w:sz w:val="20"/>
          <w:szCs w:val="20"/>
        </w:rPr>
        <w:footnoteRef/>
      </w:r>
      <w:r w:rsidRPr="00134370">
        <w:rPr>
          <w:rFonts w:asciiTheme="minorHAnsi" w:hAnsiTheme="minorHAnsi" w:cstheme="minorHAnsi"/>
          <w:sz w:val="20"/>
          <w:szCs w:val="20"/>
        </w:rPr>
        <w:t xml:space="preserve"> </w:t>
      </w:r>
      <w:proofErr w:type="spellStart"/>
      <w:r w:rsidR="000F45E7" w:rsidRPr="00134370">
        <w:rPr>
          <w:rFonts w:asciiTheme="minorHAnsi" w:hAnsiTheme="minorHAnsi" w:cstheme="minorHAnsi"/>
          <w:color w:val="000000" w:themeColor="text1"/>
          <w:sz w:val="20"/>
          <w:szCs w:val="20"/>
        </w:rPr>
        <w:t>Ozonnia</w:t>
      </w:r>
      <w:proofErr w:type="spellEnd"/>
      <w:r w:rsidR="000F45E7" w:rsidRPr="00134370">
        <w:rPr>
          <w:rFonts w:asciiTheme="minorHAnsi" w:hAnsiTheme="minorHAnsi" w:cstheme="minorHAnsi"/>
          <w:color w:val="000000" w:themeColor="text1"/>
          <w:sz w:val="20"/>
          <w:szCs w:val="20"/>
        </w:rPr>
        <w:t xml:space="preserve"> </w:t>
      </w:r>
      <w:proofErr w:type="spellStart"/>
      <w:r w:rsidRPr="00134370">
        <w:rPr>
          <w:rFonts w:asciiTheme="minorHAnsi" w:hAnsiTheme="minorHAnsi" w:cstheme="minorHAnsi"/>
          <w:color w:val="000000" w:themeColor="text1"/>
          <w:sz w:val="20"/>
          <w:szCs w:val="20"/>
        </w:rPr>
        <w:t>Ojielo</w:t>
      </w:r>
      <w:proofErr w:type="spellEnd"/>
      <w:r w:rsidRPr="00134370">
        <w:rPr>
          <w:rFonts w:asciiTheme="minorHAnsi" w:hAnsiTheme="minorHAnsi" w:cstheme="minorHAnsi"/>
          <w:color w:val="000000" w:themeColor="text1"/>
          <w:sz w:val="20"/>
          <w:szCs w:val="20"/>
        </w:rPr>
        <w:t xml:space="preserve"> et al, </w:t>
      </w:r>
      <w:r w:rsidRPr="00134370">
        <w:rPr>
          <w:rFonts w:asciiTheme="minorHAnsi" w:hAnsiTheme="minorHAnsi" w:cstheme="minorHAnsi"/>
          <w:i/>
          <w:iCs/>
          <w:color w:val="000000" w:themeColor="text1"/>
          <w:sz w:val="20"/>
          <w:szCs w:val="20"/>
        </w:rPr>
        <w:t>Journey to Extremism in Africa: Drivers, Incentives and The Tipping Point for  Recruitment</w:t>
      </w:r>
      <w:r w:rsidRPr="00134370">
        <w:rPr>
          <w:rFonts w:asciiTheme="minorHAnsi" w:hAnsiTheme="minorHAnsi" w:cstheme="minorHAnsi"/>
          <w:color w:val="000000" w:themeColor="text1"/>
          <w:sz w:val="20"/>
          <w:szCs w:val="20"/>
        </w:rPr>
        <w:t xml:space="preserve">. </w:t>
      </w:r>
      <w:r w:rsidR="000F45E7" w:rsidRPr="00134370">
        <w:rPr>
          <w:rFonts w:asciiTheme="minorHAnsi" w:hAnsiTheme="minorHAnsi" w:cstheme="minorHAnsi"/>
          <w:color w:val="000000" w:themeColor="text1"/>
          <w:sz w:val="20"/>
          <w:szCs w:val="20"/>
        </w:rPr>
        <w:t>(</w:t>
      </w:r>
      <w:r w:rsidRPr="00134370">
        <w:rPr>
          <w:rFonts w:asciiTheme="minorHAnsi" w:hAnsiTheme="minorHAnsi" w:cstheme="minorHAnsi"/>
          <w:color w:val="000000" w:themeColor="text1"/>
          <w:sz w:val="20"/>
          <w:szCs w:val="20"/>
        </w:rPr>
        <w:t xml:space="preserve">United Nations Development </w:t>
      </w:r>
      <w:proofErr w:type="spellStart"/>
      <w:r w:rsidRPr="00134370">
        <w:rPr>
          <w:rFonts w:asciiTheme="minorHAnsi" w:hAnsiTheme="minorHAnsi" w:cstheme="minorHAnsi"/>
          <w:color w:val="000000" w:themeColor="text1"/>
          <w:sz w:val="20"/>
          <w:szCs w:val="20"/>
        </w:rPr>
        <w:t>Programme</w:t>
      </w:r>
      <w:proofErr w:type="spellEnd"/>
      <w:r w:rsidR="000F45E7" w:rsidRPr="00134370">
        <w:rPr>
          <w:rFonts w:asciiTheme="minorHAnsi" w:hAnsiTheme="minorHAnsi" w:cstheme="minorHAnsi"/>
          <w:color w:val="000000" w:themeColor="text1"/>
          <w:sz w:val="20"/>
          <w:szCs w:val="20"/>
        </w:rPr>
        <w:t>;</w:t>
      </w:r>
      <w:r w:rsidRPr="00134370">
        <w:rPr>
          <w:rFonts w:asciiTheme="minorHAnsi" w:hAnsiTheme="minorHAnsi" w:cstheme="minorHAnsi"/>
          <w:color w:val="000000" w:themeColor="text1"/>
          <w:sz w:val="20"/>
          <w:szCs w:val="20"/>
        </w:rPr>
        <w:t xml:space="preserve"> 2017</w:t>
      </w:r>
      <w:r w:rsidR="000F45E7" w:rsidRPr="00134370">
        <w:rPr>
          <w:rFonts w:asciiTheme="minorHAnsi" w:hAnsiTheme="minorHAnsi" w:cstheme="minorHAnsi"/>
          <w:color w:val="000000" w:themeColor="text1"/>
          <w:sz w:val="20"/>
          <w:szCs w:val="20"/>
        </w:rPr>
        <w:t>)</w:t>
      </w:r>
      <w:r w:rsidRPr="00134370">
        <w:rPr>
          <w:rFonts w:asciiTheme="minorHAnsi" w:hAnsiTheme="minorHAnsi" w:cstheme="minorHAnsi"/>
          <w:color w:val="000000" w:themeColor="text1"/>
          <w:sz w:val="20"/>
          <w:szCs w:val="20"/>
        </w:rPr>
        <w:t xml:space="preserve"> </w:t>
      </w:r>
      <w:r w:rsidR="00090383" w:rsidRPr="00134370">
        <w:rPr>
          <w:rFonts w:asciiTheme="minorHAnsi" w:hAnsiTheme="minorHAnsi" w:cstheme="minorHAnsi"/>
          <w:color w:val="000000" w:themeColor="text1"/>
          <w:sz w:val="20"/>
          <w:szCs w:val="20"/>
        </w:rPr>
        <w:t>at</w:t>
      </w:r>
      <w:r w:rsidRPr="00134370">
        <w:rPr>
          <w:rFonts w:asciiTheme="minorHAnsi" w:hAnsiTheme="minorHAnsi" w:cstheme="minorHAnsi"/>
          <w:color w:val="000000" w:themeColor="text1"/>
          <w:spacing w:val="24"/>
          <w:sz w:val="20"/>
          <w:szCs w:val="20"/>
        </w:rPr>
        <w:t xml:space="preserve"> </w:t>
      </w:r>
      <w:r w:rsidRPr="00134370">
        <w:rPr>
          <w:rFonts w:asciiTheme="minorHAnsi" w:hAnsiTheme="minorHAnsi" w:cstheme="minorHAnsi"/>
          <w:color w:val="000000" w:themeColor="text1"/>
          <w:sz w:val="20"/>
          <w:szCs w:val="20"/>
        </w:rPr>
        <w:t>5.</w:t>
      </w:r>
      <w:r w:rsidR="0025446A" w:rsidRPr="00134370">
        <w:rPr>
          <w:rFonts w:asciiTheme="minorHAnsi" w:hAnsiTheme="minorHAnsi" w:cstheme="minorHAnsi"/>
          <w:color w:val="000000" w:themeColor="text1"/>
          <w:sz w:val="20"/>
          <w:szCs w:val="20"/>
        </w:rPr>
        <w:t xml:space="preserve"> </w:t>
      </w:r>
    </w:p>
  </w:footnote>
  <w:footnote w:id="21">
    <w:p w14:paraId="276F37AC" w14:textId="6C4B276B" w:rsidR="004608FF" w:rsidRPr="00134370" w:rsidRDefault="004608FF" w:rsidP="004608FF">
      <w:pPr>
        <w:pStyle w:val="FootnoteText"/>
        <w:jc w:val="both"/>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w:t>
      </w:r>
      <w:r w:rsidRPr="00134370">
        <w:rPr>
          <w:rFonts w:cstheme="minorHAnsi"/>
          <w:color w:val="000000" w:themeColor="text1"/>
          <w:sz w:val="20"/>
          <w:szCs w:val="20"/>
        </w:rPr>
        <w:t xml:space="preserve">See Mia </w:t>
      </w:r>
      <w:r w:rsidRPr="00134370">
        <w:rPr>
          <w:rFonts w:cstheme="minorHAnsi"/>
          <w:sz w:val="20"/>
          <w:szCs w:val="20"/>
        </w:rPr>
        <w:t xml:space="preserve">Bloom, </w:t>
      </w:r>
      <w:r w:rsidRPr="00134370">
        <w:rPr>
          <w:rFonts w:cstheme="minorHAnsi"/>
          <w:i/>
          <w:iCs/>
          <w:sz w:val="20"/>
          <w:szCs w:val="20"/>
        </w:rPr>
        <w:t>Dying to Kill: Motivations for Suicide Terrorism</w:t>
      </w:r>
      <w:r w:rsidRPr="00134370">
        <w:rPr>
          <w:rFonts w:cstheme="minorHAnsi"/>
          <w:sz w:val="20"/>
          <w:szCs w:val="20"/>
        </w:rPr>
        <w:t xml:space="preserve">, in Ami </w:t>
      </w:r>
      <w:proofErr w:type="spellStart"/>
      <w:r w:rsidRPr="00134370">
        <w:rPr>
          <w:rFonts w:cstheme="minorHAnsi"/>
          <w:sz w:val="20"/>
          <w:szCs w:val="20"/>
        </w:rPr>
        <w:t>Pedahzur</w:t>
      </w:r>
      <w:proofErr w:type="spellEnd"/>
      <w:r w:rsidRPr="00134370">
        <w:rPr>
          <w:rFonts w:cstheme="minorHAnsi"/>
          <w:sz w:val="20"/>
          <w:szCs w:val="20"/>
        </w:rPr>
        <w:t xml:space="preserve"> (Ed.), </w:t>
      </w:r>
      <w:r w:rsidRPr="00134370">
        <w:rPr>
          <w:rFonts w:cstheme="minorHAnsi"/>
          <w:i/>
          <w:iCs/>
          <w:sz w:val="20"/>
          <w:szCs w:val="20"/>
        </w:rPr>
        <w:t>Root Causes of Suicide Terrorism: The Globalization of Martyrdom</w:t>
      </w:r>
      <w:r w:rsidRPr="00134370">
        <w:rPr>
          <w:rFonts w:cstheme="minorHAnsi"/>
          <w:sz w:val="20"/>
          <w:szCs w:val="20"/>
        </w:rPr>
        <w:t xml:space="preserve"> (Routledge; 2006); </w:t>
      </w:r>
      <w:proofErr w:type="spellStart"/>
      <w:r w:rsidRPr="00134370">
        <w:rPr>
          <w:rFonts w:cstheme="minorHAnsi"/>
          <w:sz w:val="20"/>
          <w:szCs w:val="20"/>
        </w:rPr>
        <w:t>Anneli</w:t>
      </w:r>
      <w:proofErr w:type="spellEnd"/>
      <w:r w:rsidRPr="00134370">
        <w:rPr>
          <w:rFonts w:cstheme="minorHAnsi"/>
          <w:sz w:val="20"/>
          <w:szCs w:val="20"/>
        </w:rPr>
        <w:t xml:space="preserve"> Botha, </w:t>
      </w:r>
      <w:proofErr w:type="spellStart"/>
      <w:r w:rsidRPr="00134370">
        <w:rPr>
          <w:rFonts w:cstheme="minorHAnsi"/>
          <w:i/>
          <w:iCs/>
          <w:sz w:val="20"/>
          <w:szCs w:val="20"/>
        </w:rPr>
        <w:t>Radicalisation</w:t>
      </w:r>
      <w:proofErr w:type="spellEnd"/>
      <w:r w:rsidRPr="00134370">
        <w:rPr>
          <w:rFonts w:cstheme="minorHAnsi"/>
          <w:i/>
          <w:iCs/>
          <w:sz w:val="20"/>
          <w:szCs w:val="20"/>
        </w:rPr>
        <w:t xml:space="preserve"> in Kenya: Recruitment to al-Shabaab and the </w:t>
      </w:r>
      <w:proofErr w:type="spellStart"/>
      <w:r w:rsidRPr="00134370">
        <w:rPr>
          <w:rFonts w:cstheme="minorHAnsi"/>
          <w:i/>
          <w:iCs/>
          <w:sz w:val="20"/>
          <w:szCs w:val="20"/>
        </w:rPr>
        <w:t>Mobasa</w:t>
      </w:r>
      <w:proofErr w:type="spellEnd"/>
      <w:r w:rsidRPr="00134370">
        <w:rPr>
          <w:rFonts w:cstheme="minorHAnsi"/>
          <w:i/>
          <w:iCs/>
          <w:sz w:val="20"/>
          <w:szCs w:val="20"/>
        </w:rPr>
        <w:t xml:space="preserve"> Republican Council</w:t>
      </w:r>
      <w:r w:rsidRPr="00134370">
        <w:rPr>
          <w:rFonts w:cstheme="minorHAnsi"/>
          <w:sz w:val="20"/>
          <w:szCs w:val="20"/>
        </w:rPr>
        <w:t xml:space="preserve"> (Institute for Security Studies; September 2014); </w:t>
      </w:r>
      <w:proofErr w:type="spellStart"/>
      <w:r w:rsidRPr="00134370">
        <w:rPr>
          <w:rFonts w:cstheme="minorHAnsi"/>
          <w:sz w:val="20"/>
          <w:szCs w:val="20"/>
        </w:rPr>
        <w:t>Anneli</w:t>
      </w:r>
      <w:proofErr w:type="spellEnd"/>
      <w:r w:rsidRPr="00134370">
        <w:rPr>
          <w:rFonts w:cstheme="minorHAnsi"/>
          <w:sz w:val="20"/>
          <w:szCs w:val="20"/>
        </w:rPr>
        <w:t xml:space="preserve"> Botha and Mahdi </w:t>
      </w:r>
      <w:proofErr w:type="spellStart"/>
      <w:r w:rsidRPr="00134370">
        <w:rPr>
          <w:rFonts w:cstheme="minorHAnsi"/>
          <w:sz w:val="20"/>
          <w:szCs w:val="20"/>
        </w:rPr>
        <w:t>Abdile</w:t>
      </w:r>
      <w:proofErr w:type="spellEnd"/>
      <w:r w:rsidRPr="00134370">
        <w:rPr>
          <w:rFonts w:cstheme="minorHAnsi"/>
          <w:sz w:val="20"/>
          <w:szCs w:val="20"/>
        </w:rPr>
        <w:t xml:space="preserve">, </w:t>
      </w:r>
      <w:r w:rsidRPr="00134370">
        <w:rPr>
          <w:rFonts w:cstheme="minorHAnsi"/>
          <w:i/>
          <w:iCs/>
          <w:sz w:val="20"/>
          <w:szCs w:val="20"/>
        </w:rPr>
        <w:t>Understanding Boko Haram in Nigeria – Reality and Perceptions</w:t>
      </w:r>
      <w:r w:rsidRPr="00134370">
        <w:rPr>
          <w:rFonts w:cstheme="minorHAnsi"/>
          <w:sz w:val="20"/>
          <w:szCs w:val="20"/>
        </w:rPr>
        <w:t xml:space="preserve"> (The Network for Religious and Traditional Peacemakers; February 2017); Luke </w:t>
      </w:r>
      <w:proofErr w:type="spellStart"/>
      <w:r w:rsidRPr="00134370">
        <w:rPr>
          <w:rFonts w:cstheme="minorHAnsi"/>
          <w:sz w:val="20"/>
          <w:szCs w:val="20"/>
        </w:rPr>
        <w:t>Condra</w:t>
      </w:r>
      <w:proofErr w:type="spellEnd"/>
      <w:r w:rsidRPr="00134370">
        <w:rPr>
          <w:rFonts w:cstheme="minorHAnsi"/>
          <w:sz w:val="20"/>
          <w:szCs w:val="20"/>
        </w:rPr>
        <w:t xml:space="preserve">, Joseph </w:t>
      </w:r>
      <w:proofErr w:type="spellStart"/>
      <w:r w:rsidRPr="00134370">
        <w:rPr>
          <w:rFonts w:cstheme="minorHAnsi"/>
          <w:sz w:val="20"/>
          <w:szCs w:val="20"/>
        </w:rPr>
        <w:t>Felter</w:t>
      </w:r>
      <w:proofErr w:type="spellEnd"/>
      <w:r w:rsidRPr="00134370">
        <w:rPr>
          <w:rFonts w:cstheme="minorHAnsi"/>
          <w:sz w:val="20"/>
          <w:szCs w:val="20"/>
        </w:rPr>
        <w:t xml:space="preserve">, Radha Iyengar and Jacob Shapiro, </w:t>
      </w:r>
      <w:r w:rsidRPr="00134370">
        <w:rPr>
          <w:rFonts w:cstheme="minorHAnsi"/>
          <w:i/>
          <w:iCs/>
          <w:sz w:val="20"/>
          <w:szCs w:val="20"/>
        </w:rPr>
        <w:t>The Effect of Civilian Casualties in Afghanistan and Iraq</w:t>
      </w:r>
      <w:r w:rsidRPr="00134370">
        <w:rPr>
          <w:rFonts w:cstheme="minorHAnsi"/>
          <w:sz w:val="20"/>
          <w:szCs w:val="20"/>
        </w:rPr>
        <w:t xml:space="preserve">, Working Paper 16152 (National Bureau of Economic Research; July 2010); </w:t>
      </w:r>
      <w:proofErr w:type="spellStart"/>
      <w:r w:rsidRPr="00134370">
        <w:rPr>
          <w:rFonts w:cstheme="minorHAnsi"/>
          <w:sz w:val="20"/>
          <w:szCs w:val="20"/>
        </w:rPr>
        <w:t>Jitka</w:t>
      </w:r>
      <w:proofErr w:type="spellEnd"/>
      <w:r w:rsidRPr="00134370">
        <w:rPr>
          <w:rFonts w:cstheme="minorHAnsi"/>
          <w:sz w:val="20"/>
          <w:szCs w:val="20"/>
        </w:rPr>
        <w:t xml:space="preserve"> </w:t>
      </w:r>
      <w:proofErr w:type="spellStart"/>
      <w:r w:rsidRPr="00134370">
        <w:rPr>
          <w:rFonts w:cstheme="minorHAnsi"/>
          <w:sz w:val="20"/>
          <w:szCs w:val="20"/>
        </w:rPr>
        <w:t>Malečková</w:t>
      </w:r>
      <w:proofErr w:type="spellEnd"/>
      <w:r w:rsidRPr="00134370">
        <w:rPr>
          <w:rFonts w:cstheme="minorHAnsi"/>
          <w:sz w:val="20"/>
          <w:szCs w:val="20"/>
        </w:rPr>
        <w:t xml:space="preserve">, Impoverished Terrorists: Stereotype or Reality? In Tore </w:t>
      </w:r>
      <w:proofErr w:type="spellStart"/>
      <w:r w:rsidRPr="00134370">
        <w:rPr>
          <w:rFonts w:cstheme="minorHAnsi"/>
          <w:sz w:val="20"/>
          <w:szCs w:val="20"/>
        </w:rPr>
        <w:t>Bjørgo</w:t>
      </w:r>
      <w:proofErr w:type="spellEnd"/>
      <w:r w:rsidRPr="00134370">
        <w:rPr>
          <w:rFonts w:cstheme="minorHAnsi"/>
          <w:sz w:val="20"/>
          <w:szCs w:val="20"/>
        </w:rPr>
        <w:t xml:space="preserve"> (Ed.), </w:t>
      </w:r>
      <w:r w:rsidRPr="00134370">
        <w:rPr>
          <w:rFonts w:cstheme="minorHAnsi"/>
          <w:i/>
          <w:iCs/>
          <w:sz w:val="20"/>
          <w:szCs w:val="20"/>
        </w:rPr>
        <w:t xml:space="preserve">Root Causes of Terrorism: Myths, Reality and Ways Forward </w:t>
      </w:r>
      <w:r w:rsidRPr="00134370">
        <w:rPr>
          <w:rFonts w:cstheme="minorHAnsi"/>
          <w:sz w:val="20"/>
          <w:szCs w:val="20"/>
        </w:rPr>
        <w:t xml:space="preserve">(Routledge; 2005); James Walsh and James Piazza, </w:t>
      </w:r>
      <w:r w:rsidRPr="00134370">
        <w:rPr>
          <w:rFonts w:cstheme="minorHAnsi"/>
          <w:i/>
          <w:iCs/>
          <w:sz w:val="20"/>
          <w:szCs w:val="20"/>
        </w:rPr>
        <w:t>Why Respecting Physical Integrity Rights Reduces Terrorism</w:t>
      </w:r>
      <w:r w:rsidRPr="00134370">
        <w:rPr>
          <w:rFonts w:cstheme="minorHAnsi"/>
          <w:sz w:val="20"/>
          <w:szCs w:val="20"/>
        </w:rPr>
        <w:t xml:space="preserve">, Comparative Political Studies, Vol. 43, No. 5 (2010); and Bader </w:t>
      </w:r>
      <w:proofErr w:type="spellStart"/>
      <w:r w:rsidRPr="00134370">
        <w:rPr>
          <w:rFonts w:cstheme="minorHAnsi"/>
          <w:sz w:val="20"/>
          <w:szCs w:val="20"/>
        </w:rPr>
        <w:t>Araj</w:t>
      </w:r>
      <w:proofErr w:type="spellEnd"/>
      <w:r w:rsidRPr="00134370">
        <w:rPr>
          <w:rFonts w:cstheme="minorHAnsi"/>
          <w:sz w:val="20"/>
          <w:szCs w:val="20"/>
        </w:rPr>
        <w:t xml:space="preserve">,  </w:t>
      </w:r>
      <w:r w:rsidRPr="00134370">
        <w:rPr>
          <w:rFonts w:cstheme="minorHAnsi"/>
          <w:i/>
          <w:iCs/>
          <w:sz w:val="20"/>
          <w:szCs w:val="20"/>
        </w:rPr>
        <w:t>Harsh State Repression as a Cause of Suicide Bombing: The Case of the Palestinian-Israeli Conflict</w:t>
      </w:r>
      <w:r w:rsidRPr="00134370">
        <w:rPr>
          <w:rFonts w:cstheme="minorHAnsi"/>
          <w:sz w:val="20"/>
          <w:szCs w:val="20"/>
        </w:rPr>
        <w:t>, Studies in Conflict and Terrorism, Vol. 31 (2008).</w:t>
      </w:r>
    </w:p>
  </w:footnote>
  <w:footnote w:id="22">
    <w:p w14:paraId="5448E434" w14:textId="46BE9CB4" w:rsidR="00D111E9" w:rsidRPr="00134370" w:rsidRDefault="00D111E9">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w:t>
      </w:r>
      <w:r w:rsidRPr="00134370">
        <w:rPr>
          <w:rFonts w:eastAsia="Times New Roman" w:cstheme="minorHAnsi"/>
          <w:sz w:val="20"/>
          <w:szCs w:val="20"/>
        </w:rPr>
        <w:t xml:space="preserve">Gabe Mythen, Sandra </w:t>
      </w:r>
      <w:proofErr w:type="spellStart"/>
      <w:r w:rsidRPr="00134370">
        <w:rPr>
          <w:rFonts w:eastAsia="Times New Roman" w:cstheme="minorHAnsi"/>
          <w:sz w:val="20"/>
          <w:szCs w:val="20"/>
        </w:rPr>
        <w:t>Walklate</w:t>
      </w:r>
      <w:proofErr w:type="spellEnd"/>
      <w:r w:rsidRPr="00134370">
        <w:rPr>
          <w:rFonts w:eastAsia="Times New Roman" w:cstheme="minorHAnsi"/>
          <w:sz w:val="20"/>
          <w:szCs w:val="20"/>
        </w:rPr>
        <w:t xml:space="preserve"> and Elizabeth-Jane </w:t>
      </w:r>
      <w:proofErr w:type="spellStart"/>
      <w:r w:rsidRPr="00134370">
        <w:rPr>
          <w:rFonts w:eastAsia="Times New Roman" w:cstheme="minorHAnsi"/>
          <w:sz w:val="20"/>
          <w:szCs w:val="20"/>
        </w:rPr>
        <w:t>Peatfield</w:t>
      </w:r>
      <w:proofErr w:type="spellEnd"/>
      <w:r w:rsidRPr="00134370">
        <w:rPr>
          <w:rFonts w:eastAsia="Times New Roman" w:cstheme="minorHAnsi"/>
          <w:sz w:val="20"/>
          <w:szCs w:val="20"/>
        </w:rPr>
        <w:t xml:space="preserve">, </w:t>
      </w:r>
      <w:r w:rsidR="00EE560E" w:rsidRPr="00CB6804">
        <w:rPr>
          <w:rFonts w:eastAsia="Times New Roman" w:cstheme="minorHAnsi"/>
          <w:i/>
          <w:iCs/>
          <w:sz w:val="20"/>
          <w:szCs w:val="20"/>
        </w:rPr>
        <w:t xml:space="preserve">supra </w:t>
      </w:r>
      <w:r w:rsidR="00EE560E" w:rsidRPr="00CB6804">
        <w:rPr>
          <w:rFonts w:eastAsia="Times New Roman" w:cstheme="minorHAnsi"/>
          <w:sz w:val="20"/>
          <w:szCs w:val="20"/>
        </w:rPr>
        <w:t xml:space="preserve">note 12, </w:t>
      </w:r>
      <w:r w:rsidRPr="00134370">
        <w:rPr>
          <w:rFonts w:eastAsia="Times New Roman" w:cstheme="minorHAnsi"/>
          <w:sz w:val="20"/>
          <w:szCs w:val="20"/>
        </w:rPr>
        <w:t>at 190</w:t>
      </w:r>
      <w:r w:rsidR="00134370">
        <w:rPr>
          <w:rFonts w:eastAsia="Times New Roman" w:cstheme="minorHAnsi"/>
          <w:sz w:val="20"/>
          <w:szCs w:val="20"/>
        </w:rPr>
        <w:t>.</w:t>
      </w:r>
    </w:p>
  </w:footnote>
  <w:footnote w:id="23">
    <w:p w14:paraId="67111D27" w14:textId="77777777" w:rsidR="00F3398D" w:rsidRPr="00134370" w:rsidRDefault="00F3398D" w:rsidP="00F3398D">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HM Government, Countering international terrorism: The United Kingdom’s strategy (HMSO; 2006) at 1</w:t>
      </w:r>
    </w:p>
  </w:footnote>
  <w:footnote w:id="24">
    <w:p w14:paraId="169851F0" w14:textId="401B4D60" w:rsidR="00F3398D" w:rsidRPr="00134370" w:rsidRDefault="00F3398D" w:rsidP="00F3398D">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Catherine McGlynn and Shaun McDaid, </w:t>
      </w:r>
      <w:r w:rsidR="00386250" w:rsidRPr="00CB6804">
        <w:rPr>
          <w:rFonts w:cstheme="minorHAnsi"/>
          <w:i/>
          <w:iCs/>
          <w:sz w:val="20"/>
          <w:szCs w:val="20"/>
        </w:rPr>
        <w:t xml:space="preserve">supra </w:t>
      </w:r>
      <w:r w:rsidR="00386250" w:rsidRPr="00CB6804">
        <w:rPr>
          <w:rFonts w:cstheme="minorHAnsi"/>
          <w:sz w:val="20"/>
          <w:szCs w:val="20"/>
        </w:rPr>
        <w:t>note 4</w:t>
      </w:r>
      <w:r w:rsidR="00386250">
        <w:rPr>
          <w:rFonts w:cstheme="minorHAnsi"/>
          <w:sz w:val="20"/>
          <w:szCs w:val="20"/>
        </w:rPr>
        <w:t>,</w:t>
      </w:r>
      <w:r w:rsidRPr="00134370">
        <w:rPr>
          <w:rFonts w:cstheme="minorHAnsi"/>
          <w:sz w:val="20"/>
          <w:szCs w:val="20"/>
        </w:rPr>
        <w:t xml:space="preserve"> at 26</w:t>
      </w:r>
      <w:r w:rsidR="00134370">
        <w:rPr>
          <w:rFonts w:cstheme="minorHAnsi"/>
          <w:sz w:val="20"/>
          <w:szCs w:val="20"/>
        </w:rPr>
        <w:t>.</w:t>
      </w:r>
    </w:p>
  </w:footnote>
  <w:footnote w:id="25">
    <w:p w14:paraId="6C8C25D3" w14:textId="0C396280" w:rsidR="00F3398D" w:rsidRPr="00B214DE" w:rsidRDefault="00F3398D" w:rsidP="00F3398D">
      <w:pPr>
        <w:pStyle w:val="FootnoteText"/>
        <w:rPr>
          <w:sz w:val="20"/>
          <w:szCs w:val="20"/>
        </w:rPr>
      </w:pPr>
      <w:r w:rsidRPr="00134370">
        <w:rPr>
          <w:rStyle w:val="FootnoteReference"/>
          <w:rFonts w:cstheme="minorHAnsi"/>
          <w:sz w:val="20"/>
          <w:szCs w:val="20"/>
        </w:rPr>
        <w:footnoteRef/>
      </w:r>
      <w:r w:rsidRPr="00134370">
        <w:rPr>
          <w:rFonts w:cstheme="minorHAnsi"/>
          <w:sz w:val="20"/>
          <w:szCs w:val="20"/>
        </w:rPr>
        <w:t xml:space="preserve"> HM Government, </w:t>
      </w:r>
      <w:r w:rsidRPr="00134370">
        <w:rPr>
          <w:rFonts w:cstheme="minorHAnsi"/>
          <w:i/>
          <w:iCs/>
          <w:sz w:val="20"/>
          <w:szCs w:val="20"/>
        </w:rPr>
        <w:t>The prevent strategy: A guide for local partners in England</w:t>
      </w:r>
      <w:r w:rsidRPr="00134370">
        <w:rPr>
          <w:rFonts w:cstheme="minorHAnsi"/>
          <w:sz w:val="20"/>
          <w:szCs w:val="20"/>
        </w:rPr>
        <w:t xml:space="preserve"> (HMSO; 2007) at 6</w:t>
      </w:r>
      <w:r w:rsidR="00134370">
        <w:rPr>
          <w:rFonts w:cstheme="minorHAnsi"/>
          <w:sz w:val="20"/>
          <w:szCs w:val="20"/>
        </w:rPr>
        <w:t>.</w:t>
      </w:r>
    </w:p>
  </w:footnote>
  <w:footnote w:id="26">
    <w:p w14:paraId="6324CC23" w14:textId="10846F64" w:rsidR="00672AA0" w:rsidRPr="00134370" w:rsidRDefault="00672AA0">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w:t>
      </w:r>
      <w:r w:rsidRPr="00134370">
        <w:rPr>
          <w:rFonts w:cstheme="minorHAnsi"/>
          <w:i/>
          <w:iCs/>
          <w:sz w:val="20"/>
          <w:szCs w:val="20"/>
        </w:rPr>
        <w:t>Pursue, Prevent, Protect, Prepare: The United Kingdom’s strategy for countering international terrorism</w:t>
      </w:r>
      <w:r w:rsidRPr="00134370">
        <w:rPr>
          <w:rFonts w:cstheme="minorHAnsi"/>
          <w:sz w:val="20"/>
          <w:szCs w:val="20"/>
        </w:rPr>
        <w:t xml:space="preserve"> (March 2009) at 13</w:t>
      </w:r>
      <w:r w:rsidR="00134370">
        <w:rPr>
          <w:rFonts w:cstheme="minorHAnsi"/>
          <w:sz w:val="20"/>
          <w:szCs w:val="20"/>
        </w:rPr>
        <w:t>.</w:t>
      </w:r>
    </w:p>
  </w:footnote>
  <w:footnote w:id="27">
    <w:p w14:paraId="4B37E498" w14:textId="065F4924" w:rsidR="00B214DE" w:rsidRPr="00134370" w:rsidRDefault="00B214DE">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Monica Lloyd and Christopher Dean, </w:t>
      </w:r>
      <w:r w:rsidR="00386250" w:rsidRPr="00CB6804">
        <w:rPr>
          <w:rFonts w:cstheme="minorHAnsi"/>
          <w:i/>
          <w:iCs/>
          <w:sz w:val="20"/>
          <w:szCs w:val="20"/>
        </w:rPr>
        <w:t>supra</w:t>
      </w:r>
      <w:r w:rsidR="00386250" w:rsidRPr="00CB6804">
        <w:rPr>
          <w:rFonts w:cstheme="minorHAnsi"/>
          <w:sz w:val="20"/>
          <w:szCs w:val="20"/>
        </w:rPr>
        <w:t xml:space="preserve"> note 4, </w:t>
      </w:r>
      <w:r w:rsidRPr="00134370">
        <w:rPr>
          <w:rFonts w:cstheme="minorHAnsi"/>
          <w:sz w:val="20"/>
          <w:szCs w:val="20"/>
        </w:rPr>
        <w:t>at 40</w:t>
      </w:r>
      <w:r w:rsidR="00134370">
        <w:rPr>
          <w:rFonts w:cstheme="minorHAnsi"/>
          <w:sz w:val="20"/>
          <w:szCs w:val="20"/>
        </w:rPr>
        <w:t>.</w:t>
      </w:r>
    </w:p>
  </w:footnote>
  <w:footnote w:id="28">
    <w:p w14:paraId="2F45AB66" w14:textId="07C38EE6" w:rsidR="00DD517C" w:rsidRPr="00134370" w:rsidRDefault="00DD517C" w:rsidP="00DD517C">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Catherine McGlynn and Shaun McDaid, </w:t>
      </w:r>
      <w:r w:rsidR="00386250" w:rsidRPr="00CB6804">
        <w:rPr>
          <w:rFonts w:cstheme="minorHAnsi"/>
          <w:i/>
          <w:iCs/>
          <w:sz w:val="20"/>
          <w:szCs w:val="20"/>
        </w:rPr>
        <w:t xml:space="preserve">supra </w:t>
      </w:r>
      <w:r w:rsidR="00386250" w:rsidRPr="00CB6804">
        <w:rPr>
          <w:rFonts w:cstheme="minorHAnsi"/>
          <w:sz w:val="20"/>
          <w:szCs w:val="20"/>
        </w:rPr>
        <w:t>note 4</w:t>
      </w:r>
      <w:r w:rsidR="00386250">
        <w:rPr>
          <w:rFonts w:cstheme="minorHAnsi"/>
          <w:sz w:val="20"/>
          <w:szCs w:val="20"/>
        </w:rPr>
        <w:t>,</w:t>
      </w:r>
      <w:r w:rsidRPr="00134370">
        <w:rPr>
          <w:rFonts w:cstheme="minorHAnsi"/>
          <w:sz w:val="20"/>
          <w:szCs w:val="20"/>
        </w:rPr>
        <w:t xml:space="preserve"> at</w:t>
      </w:r>
      <w:r w:rsidR="00030F60" w:rsidRPr="00134370">
        <w:rPr>
          <w:rFonts w:cstheme="minorHAnsi"/>
          <w:sz w:val="20"/>
          <w:szCs w:val="20"/>
        </w:rPr>
        <w:t xml:space="preserve"> 37</w:t>
      </w:r>
      <w:r w:rsidRPr="00134370">
        <w:rPr>
          <w:rFonts w:cstheme="minorHAnsi"/>
          <w:sz w:val="20"/>
          <w:szCs w:val="20"/>
        </w:rPr>
        <w:t xml:space="preserve">. See also Monica Lloyd and Christopher Dean, </w:t>
      </w:r>
      <w:r w:rsidR="00386250" w:rsidRPr="00CB6804">
        <w:rPr>
          <w:rFonts w:cstheme="minorHAnsi"/>
          <w:i/>
          <w:iCs/>
          <w:sz w:val="20"/>
          <w:szCs w:val="20"/>
        </w:rPr>
        <w:t>supra</w:t>
      </w:r>
      <w:r w:rsidR="00386250" w:rsidRPr="00CB6804">
        <w:rPr>
          <w:rFonts w:cstheme="minorHAnsi"/>
          <w:sz w:val="20"/>
          <w:szCs w:val="20"/>
        </w:rPr>
        <w:t xml:space="preserve"> note 4,</w:t>
      </w:r>
      <w:r w:rsidRPr="00134370">
        <w:rPr>
          <w:rFonts w:cstheme="minorHAnsi"/>
          <w:sz w:val="20"/>
          <w:szCs w:val="20"/>
        </w:rPr>
        <w:t xml:space="preserve"> at 40</w:t>
      </w:r>
      <w:r w:rsidR="00134370">
        <w:rPr>
          <w:rFonts w:cstheme="minorHAnsi"/>
          <w:sz w:val="20"/>
          <w:szCs w:val="20"/>
        </w:rPr>
        <w:t>.</w:t>
      </w:r>
    </w:p>
  </w:footnote>
  <w:footnote w:id="29">
    <w:p w14:paraId="131D820D" w14:textId="6698556B" w:rsidR="00DD517C" w:rsidRPr="00134370" w:rsidRDefault="00DD517C" w:rsidP="00DD517C">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w:t>
      </w:r>
      <w:proofErr w:type="spellStart"/>
      <w:r w:rsidRPr="00134370">
        <w:rPr>
          <w:rFonts w:cstheme="minorHAnsi"/>
          <w:sz w:val="20"/>
          <w:szCs w:val="20"/>
        </w:rPr>
        <w:t>Oluf</w:t>
      </w:r>
      <w:proofErr w:type="spellEnd"/>
      <w:r w:rsidRPr="00134370">
        <w:rPr>
          <w:rFonts w:cstheme="minorHAnsi"/>
          <w:sz w:val="20"/>
          <w:szCs w:val="20"/>
        </w:rPr>
        <w:t xml:space="preserve"> </w:t>
      </w:r>
      <w:proofErr w:type="spellStart"/>
      <w:r w:rsidRPr="00134370">
        <w:rPr>
          <w:rFonts w:cstheme="minorHAnsi"/>
          <w:sz w:val="20"/>
          <w:szCs w:val="20"/>
        </w:rPr>
        <w:t>Gøtzsche-Astrup</w:t>
      </w:r>
      <w:proofErr w:type="spellEnd"/>
      <w:r w:rsidRPr="00134370">
        <w:rPr>
          <w:rFonts w:cstheme="minorHAnsi"/>
          <w:sz w:val="20"/>
          <w:szCs w:val="20"/>
        </w:rPr>
        <w:t xml:space="preserve">, </w:t>
      </w:r>
      <w:r w:rsidRPr="00134370">
        <w:rPr>
          <w:rFonts w:cstheme="minorHAnsi"/>
          <w:i/>
          <w:iCs/>
          <w:sz w:val="20"/>
          <w:szCs w:val="20"/>
        </w:rPr>
        <w:t>The time for causal designs: Review and evaluation of empirical support for mechanisms of political interventions</w:t>
      </w:r>
      <w:r w:rsidRPr="00134370">
        <w:rPr>
          <w:rFonts w:cstheme="minorHAnsi"/>
          <w:sz w:val="20"/>
          <w:szCs w:val="20"/>
        </w:rPr>
        <w:t>, Aggression and Violent Behavior, Vol. 39 (March-April 2018) at 97</w:t>
      </w:r>
      <w:r w:rsidR="00DF510F" w:rsidRPr="00134370">
        <w:rPr>
          <w:rFonts w:cstheme="minorHAnsi"/>
          <w:sz w:val="20"/>
          <w:szCs w:val="20"/>
        </w:rPr>
        <w:t xml:space="preserve">, and Daniel Koehler and Verena </w:t>
      </w:r>
      <w:proofErr w:type="spellStart"/>
      <w:r w:rsidR="00DF510F" w:rsidRPr="00134370">
        <w:rPr>
          <w:rFonts w:cstheme="minorHAnsi"/>
          <w:sz w:val="20"/>
          <w:szCs w:val="20"/>
        </w:rPr>
        <w:t>Fiebig</w:t>
      </w:r>
      <w:proofErr w:type="spellEnd"/>
      <w:r w:rsidR="00DF510F" w:rsidRPr="00134370">
        <w:rPr>
          <w:rFonts w:cstheme="minorHAnsi"/>
          <w:sz w:val="20"/>
          <w:szCs w:val="20"/>
        </w:rPr>
        <w:t xml:space="preserve">, </w:t>
      </w:r>
      <w:r w:rsidR="00DF510F" w:rsidRPr="00134370">
        <w:rPr>
          <w:rFonts w:cstheme="minorHAnsi"/>
          <w:i/>
          <w:iCs/>
          <w:sz w:val="20"/>
          <w:szCs w:val="20"/>
        </w:rPr>
        <w:t>Knowing What to Do: Academic and Practitioner Understanding of How to Counter Violent Radicalization</w:t>
      </w:r>
      <w:r w:rsidR="00DF510F" w:rsidRPr="00134370">
        <w:rPr>
          <w:rFonts w:cstheme="minorHAnsi"/>
          <w:sz w:val="20"/>
          <w:szCs w:val="20"/>
        </w:rPr>
        <w:t>, Perspectives on Terrorism, Vol. 13, No. 3 (June 2019) at 44</w:t>
      </w:r>
      <w:r w:rsidR="00134370">
        <w:rPr>
          <w:rFonts w:cstheme="minorHAnsi"/>
          <w:sz w:val="20"/>
          <w:szCs w:val="20"/>
        </w:rPr>
        <w:t>.</w:t>
      </w:r>
    </w:p>
  </w:footnote>
  <w:footnote w:id="30">
    <w:p w14:paraId="6BCB286D" w14:textId="7D11C5CE" w:rsidR="00DE45FA" w:rsidRPr="00134370" w:rsidRDefault="00DE45FA" w:rsidP="00DE45FA">
      <w:pPr>
        <w:jc w:val="both"/>
        <w:rPr>
          <w:rFonts w:asciiTheme="minorHAnsi" w:hAnsiTheme="minorHAnsi" w:cstheme="minorHAnsi"/>
          <w:sz w:val="20"/>
          <w:szCs w:val="20"/>
        </w:rPr>
      </w:pPr>
      <w:r w:rsidRPr="00134370">
        <w:rPr>
          <w:rStyle w:val="FootnoteReference"/>
          <w:rFonts w:asciiTheme="minorHAnsi" w:hAnsiTheme="minorHAnsi" w:cstheme="minorHAnsi"/>
          <w:sz w:val="20"/>
          <w:szCs w:val="20"/>
        </w:rPr>
        <w:footnoteRef/>
      </w:r>
      <w:r w:rsidRPr="00134370">
        <w:rPr>
          <w:rFonts w:asciiTheme="minorHAnsi" w:hAnsiTheme="minorHAnsi" w:cstheme="minorHAnsi"/>
          <w:sz w:val="20"/>
          <w:szCs w:val="20"/>
        </w:rPr>
        <w:t xml:space="preserve"> Anthony Richards, </w:t>
      </w:r>
      <w:r w:rsidRPr="00134370">
        <w:rPr>
          <w:rFonts w:asciiTheme="minorHAnsi" w:hAnsiTheme="minorHAnsi" w:cstheme="minorHAnsi"/>
          <w:i/>
          <w:iCs/>
          <w:sz w:val="20"/>
          <w:szCs w:val="20"/>
        </w:rPr>
        <w:t>From terrorism to radicalization to extremism: Counterterrorism imperative or loss of focus?</w:t>
      </w:r>
      <w:r w:rsidRPr="00134370">
        <w:rPr>
          <w:rFonts w:asciiTheme="minorHAnsi" w:hAnsiTheme="minorHAnsi" w:cstheme="minorHAnsi"/>
          <w:sz w:val="20"/>
          <w:szCs w:val="20"/>
        </w:rPr>
        <w:t>, International Affairs, Vol. 91, No. 2 (2015) at 371</w:t>
      </w:r>
      <w:r w:rsidR="00134370">
        <w:rPr>
          <w:rFonts w:asciiTheme="minorHAnsi" w:hAnsiTheme="minorHAnsi" w:cstheme="minorHAnsi"/>
          <w:sz w:val="20"/>
          <w:szCs w:val="20"/>
        </w:rPr>
        <w:t>.</w:t>
      </w:r>
    </w:p>
  </w:footnote>
  <w:footnote w:id="31">
    <w:p w14:paraId="5C42F3D4" w14:textId="25278CE1" w:rsidR="000D2427" w:rsidRPr="00964CA6" w:rsidRDefault="000D2427" w:rsidP="000D2427">
      <w:pPr>
        <w:pStyle w:val="FootnoteText"/>
        <w:rPr>
          <w:sz w:val="20"/>
          <w:szCs w:val="20"/>
        </w:rPr>
      </w:pPr>
      <w:r w:rsidRPr="00134370">
        <w:rPr>
          <w:rStyle w:val="FootnoteReference"/>
          <w:rFonts w:cstheme="minorHAnsi"/>
          <w:sz w:val="20"/>
          <w:szCs w:val="20"/>
        </w:rPr>
        <w:footnoteRef/>
      </w:r>
      <w:r w:rsidRPr="00134370">
        <w:rPr>
          <w:rFonts w:cstheme="minorHAnsi"/>
          <w:sz w:val="20"/>
          <w:szCs w:val="20"/>
        </w:rPr>
        <w:t xml:space="preserve"> </w:t>
      </w:r>
      <w:r w:rsidRPr="00134370">
        <w:rPr>
          <w:rFonts w:eastAsia="Times New Roman" w:cstheme="minorHAnsi"/>
          <w:sz w:val="20"/>
          <w:szCs w:val="20"/>
        </w:rPr>
        <w:t xml:space="preserve">Gabe Mythen, Sandra </w:t>
      </w:r>
      <w:proofErr w:type="spellStart"/>
      <w:r w:rsidRPr="00134370">
        <w:rPr>
          <w:rFonts w:eastAsia="Times New Roman" w:cstheme="minorHAnsi"/>
          <w:sz w:val="20"/>
          <w:szCs w:val="20"/>
        </w:rPr>
        <w:t>Walklate</w:t>
      </w:r>
      <w:proofErr w:type="spellEnd"/>
      <w:r w:rsidRPr="00134370">
        <w:rPr>
          <w:rFonts w:eastAsia="Times New Roman" w:cstheme="minorHAnsi"/>
          <w:sz w:val="20"/>
          <w:szCs w:val="20"/>
        </w:rPr>
        <w:t xml:space="preserve"> and Elizabeth-Jane </w:t>
      </w:r>
      <w:proofErr w:type="spellStart"/>
      <w:r w:rsidRPr="00134370">
        <w:rPr>
          <w:rFonts w:eastAsia="Times New Roman" w:cstheme="minorHAnsi"/>
          <w:sz w:val="20"/>
          <w:szCs w:val="20"/>
        </w:rPr>
        <w:t>Peatfield</w:t>
      </w:r>
      <w:proofErr w:type="spellEnd"/>
      <w:r w:rsidRPr="00134370">
        <w:rPr>
          <w:rFonts w:eastAsia="Times New Roman" w:cstheme="minorHAnsi"/>
          <w:sz w:val="20"/>
          <w:szCs w:val="20"/>
        </w:rPr>
        <w:t xml:space="preserve">, </w:t>
      </w:r>
      <w:r w:rsidR="00EE560E" w:rsidRPr="00CB6804">
        <w:rPr>
          <w:rFonts w:eastAsia="Times New Roman" w:cstheme="minorHAnsi"/>
          <w:i/>
          <w:iCs/>
          <w:sz w:val="20"/>
          <w:szCs w:val="20"/>
        </w:rPr>
        <w:t xml:space="preserve">supra </w:t>
      </w:r>
      <w:r w:rsidR="00EE560E" w:rsidRPr="00CB6804">
        <w:rPr>
          <w:rFonts w:eastAsia="Times New Roman" w:cstheme="minorHAnsi"/>
          <w:sz w:val="20"/>
          <w:szCs w:val="20"/>
        </w:rPr>
        <w:t xml:space="preserve">note 12, </w:t>
      </w:r>
      <w:r w:rsidRPr="00134370">
        <w:rPr>
          <w:rFonts w:eastAsia="Times New Roman" w:cstheme="minorHAnsi"/>
          <w:sz w:val="20"/>
          <w:szCs w:val="20"/>
        </w:rPr>
        <w:t>at 193-194</w:t>
      </w:r>
      <w:r w:rsidR="00134370">
        <w:rPr>
          <w:rFonts w:eastAsia="Times New Roman" w:cstheme="minorHAnsi"/>
          <w:sz w:val="20"/>
          <w:szCs w:val="20"/>
        </w:rPr>
        <w:t>.</w:t>
      </w:r>
    </w:p>
  </w:footnote>
  <w:footnote w:id="32">
    <w:p w14:paraId="097B208A" w14:textId="48C229DC" w:rsidR="00CC41C1" w:rsidRPr="00134370" w:rsidRDefault="00CC41C1" w:rsidP="00CC41C1">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Arun </w:t>
      </w:r>
      <w:proofErr w:type="spellStart"/>
      <w:r w:rsidRPr="00134370">
        <w:rPr>
          <w:rFonts w:cstheme="minorHAnsi"/>
          <w:sz w:val="20"/>
          <w:szCs w:val="20"/>
        </w:rPr>
        <w:t>Kundnani</w:t>
      </w:r>
      <w:proofErr w:type="spellEnd"/>
      <w:r w:rsidRPr="00134370">
        <w:rPr>
          <w:rFonts w:cstheme="minorHAnsi"/>
          <w:sz w:val="20"/>
          <w:szCs w:val="20"/>
        </w:rPr>
        <w:t xml:space="preserve">, </w:t>
      </w:r>
      <w:r w:rsidRPr="00134370">
        <w:rPr>
          <w:rFonts w:cstheme="minorHAnsi"/>
          <w:i/>
          <w:iCs/>
          <w:sz w:val="20"/>
          <w:szCs w:val="20"/>
        </w:rPr>
        <w:t>Spooked: How not to prevent violent extremism</w:t>
      </w:r>
      <w:r w:rsidRPr="00134370">
        <w:rPr>
          <w:rFonts w:cstheme="minorHAnsi"/>
          <w:sz w:val="20"/>
          <w:szCs w:val="20"/>
        </w:rPr>
        <w:t xml:space="preserve"> (Institute of Race Relations; 2009) at 20 and </w:t>
      </w:r>
      <w:r w:rsidRPr="00134370">
        <w:rPr>
          <w:rFonts w:cstheme="minorHAnsi"/>
          <w:i/>
          <w:iCs/>
          <w:sz w:val="20"/>
          <w:szCs w:val="20"/>
        </w:rPr>
        <w:t>Pursue, Prevent, Protect, Prepare: The United Kingdom’s strategy for countering international terrorism</w:t>
      </w:r>
      <w:r w:rsidRPr="00134370">
        <w:rPr>
          <w:rFonts w:cstheme="minorHAnsi"/>
          <w:sz w:val="20"/>
          <w:szCs w:val="20"/>
        </w:rPr>
        <w:t xml:space="preserve"> (March 2009) at 13</w:t>
      </w:r>
      <w:r w:rsidR="00134370">
        <w:rPr>
          <w:rFonts w:cstheme="minorHAnsi"/>
          <w:sz w:val="20"/>
          <w:szCs w:val="20"/>
        </w:rPr>
        <w:t>.</w:t>
      </w:r>
    </w:p>
  </w:footnote>
  <w:footnote w:id="33">
    <w:p w14:paraId="563D28D9" w14:textId="5BCCC392" w:rsidR="00DE45FA" w:rsidRPr="00134370" w:rsidRDefault="00DE45FA" w:rsidP="00DE45FA">
      <w:pPr>
        <w:pStyle w:val="NoSpacing"/>
        <w:rPr>
          <w:rFonts w:asciiTheme="minorHAnsi" w:hAnsiTheme="minorHAnsi" w:cstheme="minorHAnsi"/>
          <w:sz w:val="20"/>
          <w:szCs w:val="20"/>
        </w:rPr>
      </w:pPr>
      <w:r w:rsidRPr="00134370">
        <w:rPr>
          <w:rStyle w:val="FootnoteReference"/>
          <w:rFonts w:asciiTheme="minorHAnsi" w:hAnsiTheme="minorHAnsi" w:cstheme="minorHAnsi"/>
          <w:sz w:val="20"/>
          <w:szCs w:val="20"/>
        </w:rPr>
        <w:footnoteRef/>
      </w:r>
      <w:r w:rsidRPr="00134370">
        <w:rPr>
          <w:rFonts w:asciiTheme="minorHAnsi" w:hAnsiTheme="minorHAnsi" w:cstheme="minorHAnsi"/>
          <w:sz w:val="20"/>
          <w:szCs w:val="20"/>
        </w:rPr>
        <w:t xml:space="preserve"> </w:t>
      </w:r>
      <w:hyperlink r:id="rId3" w:history="1">
        <w:r w:rsidRPr="00134370">
          <w:rPr>
            <w:rStyle w:val="Hyperlink"/>
            <w:rFonts w:asciiTheme="minorHAnsi" w:hAnsiTheme="minorHAnsi" w:cstheme="minorHAnsi"/>
            <w:sz w:val="20"/>
            <w:szCs w:val="20"/>
          </w:rPr>
          <w:t>https://www.gov.uk/government/speeches/extremism-pm-speech</w:t>
        </w:r>
      </w:hyperlink>
      <w:r w:rsidRPr="00134370">
        <w:rPr>
          <w:rFonts w:asciiTheme="minorHAnsi" w:hAnsiTheme="minorHAnsi" w:cstheme="minorHAnsi"/>
          <w:sz w:val="20"/>
          <w:szCs w:val="20"/>
        </w:rPr>
        <w:t>, 20 July 2015</w:t>
      </w:r>
      <w:r w:rsidR="00134370">
        <w:rPr>
          <w:rFonts w:asciiTheme="minorHAnsi" w:hAnsiTheme="minorHAnsi" w:cstheme="minorHAnsi"/>
          <w:sz w:val="20"/>
          <w:szCs w:val="20"/>
        </w:rPr>
        <w:t>.</w:t>
      </w:r>
    </w:p>
  </w:footnote>
  <w:footnote w:id="34">
    <w:p w14:paraId="7D1520B3" w14:textId="6320A8B7" w:rsidR="00134370" w:rsidRPr="00134370" w:rsidRDefault="00F3398D" w:rsidP="00F3398D">
      <w:pPr>
        <w:pStyle w:val="FootnoteText"/>
        <w:rPr>
          <w:rFonts w:cstheme="minorHAnsi"/>
          <w:color w:val="0563C1" w:themeColor="hyperlink"/>
          <w:sz w:val="20"/>
          <w:szCs w:val="20"/>
          <w:u w:val="single"/>
        </w:rPr>
      </w:pPr>
      <w:r w:rsidRPr="00134370">
        <w:rPr>
          <w:rStyle w:val="FootnoteReference"/>
          <w:rFonts w:cstheme="minorHAnsi"/>
          <w:sz w:val="20"/>
          <w:szCs w:val="20"/>
        </w:rPr>
        <w:footnoteRef/>
      </w:r>
      <w:r w:rsidRPr="00134370">
        <w:rPr>
          <w:rFonts w:cstheme="minorHAnsi"/>
          <w:sz w:val="20"/>
          <w:szCs w:val="20"/>
        </w:rPr>
        <w:t xml:space="preserve"> </w:t>
      </w:r>
      <w:hyperlink r:id="rId4" w:history="1">
        <w:r w:rsidRPr="00134370">
          <w:rPr>
            <w:rStyle w:val="Hyperlink"/>
            <w:rFonts w:cstheme="minorHAnsi"/>
            <w:sz w:val="20"/>
            <w:szCs w:val="20"/>
          </w:rPr>
          <w:t>https://www.gov.uk/government/publications/prevent-duty-guidance/revised-prevent-duty-guidance-for-england-and-wales</w:t>
        </w:r>
      </w:hyperlink>
      <w:r w:rsidR="00134370" w:rsidRPr="00134370">
        <w:rPr>
          <w:rFonts w:cstheme="minorHAnsi"/>
          <w:color w:val="000000" w:themeColor="text1"/>
          <w:sz w:val="20"/>
          <w:szCs w:val="20"/>
        </w:rPr>
        <w:t>.</w:t>
      </w:r>
    </w:p>
  </w:footnote>
  <w:footnote w:id="35">
    <w:p w14:paraId="439B4E30" w14:textId="77777777" w:rsidR="009E2CC2" w:rsidRDefault="009E2CC2" w:rsidP="009E2CC2">
      <w:pPr>
        <w:pStyle w:val="FootnoteText"/>
      </w:pPr>
      <w:r w:rsidRPr="009E2CC2">
        <w:rPr>
          <w:rStyle w:val="FootnoteReference"/>
          <w:rFonts w:cstheme="minorHAnsi"/>
          <w:sz w:val="20"/>
          <w:szCs w:val="20"/>
        </w:rPr>
        <w:footnoteRef/>
      </w:r>
      <w:r w:rsidRPr="009E2CC2">
        <w:rPr>
          <w:rFonts w:cstheme="minorHAnsi"/>
          <w:sz w:val="20"/>
          <w:szCs w:val="20"/>
        </w:rPr>
        <w:t xml:space="preserve"> </w:t>
      </w:r>
      <w:r w:rsidRPr="009E2CC2">
        <w:rPr>
          <w:rFonts w:cstheme="minorHAnsi"/>
          <w:color w:val="141414"/>
          <w:sz w:val="20"/>
          <w:szCs w:val="20"/>
          <w:bdr w:val="none" w:sz="0" w:space="0" w:color="auto" w:frame="1"/>
        </w:rPr>
        <w:t xml:space="preserve">Vikram Dodd and Aubrey </w:t>
      </w:r>
      <w:proofErr w:type="spellStart"/>
      <w:r w:rsidRPr="009E2CC2">
        <w:rPr>
          <w:rFonts w:cstheme="minorHAnsi"/>
          <w:color w:val="141414"/>
          <w:sz w:val="20"/>
          <w:szCs w:val="20"/>
          <w:bdr w:val="none" w:sz="0" w:space="0" w:color="auto" w:frame="1"/>
        </w:rPr>
        <w:t>Allegretti</w:t>
      </w:r>
      <w:proofErr w:type="spellEnd"/>
      <w:r w:rsidRPr="009E2CC2">
        <w:rPr>
          <w:rFonts w:cstheme="minorHAnsi"/>
          <w:color w:val="141414"/>
          <w:sz w:val="20"/>
          <w:szCs w:val="20"/>
          <w:bdr w:val="none" w:sz="0" w:space="0" w:color="auto" w:frame="1"/>
        </w:rPr>
        <w:t xml:space="preserve">, </w:t>
      </w:r>
      <w:r w:rsidRPr="009E2CC2">
        <w:rPr>
          <w:rFonts w:cstheme="minorHAnsi"/>
          <w:i/>
          <w:iCs/>
          <w:sz w:val="20"/>
          <w:szCs w:val="20"/>
        </w:rPr>
        <w:t>Former counter-terrorism police chief attacks Rishi Sunak’s Prevent plans</w:t>
      </w:r>
      <w:r w:rsidRPr="009E2CC2">
        <w:rPr>
          <w:rFonts w:cstheme="minorHAnsi"/>
          <w:sz w:val="20"/>
          <w:szCs w:val="20"/>
        </w:rPr>
        <w:t xml:space="preserve">, </w:t>
      </w:r>
      <w:r w:rsidRPr="009E2CC2">
        <w:rPr>
          <w:rFonts w:cstheme="minorHAnsi"/>
          <w:color w:val="141414"/>
          <w:sz w:val="20"/>
          <w:szCs w:val="20"/>
          <w:bdr w:val="none" w:sz="0" w:space="0" w:color="auto" w:frame="1"/>
        </w:rPr>
        <w:t xml:space="preserve">The Guardian, 2 August 2022 at </w:t>
      </w:r>
      <w:hyperlink r:id="rId5" w:history="1">
        <w:r w:rsidRPr="009E2CC2">
          <w:rPr>
            <w:rStyle w:val="Hyperlink"/>
            <w:rFonts w:cstheme="minorHAnsi"/>
            <w:sz w:val="20"/>
            <w:szCs w:val="20"/>
            <w:bdr w:val="none" w:sz="0" w:space="0" w:color="auto" w:frame="1"/>
          </w:rPr>
          <w:t>www.theguardian.com/politics/2022/aug/02/former-counter-terrorism-police-chief-attacks-rishi-sunaks-prevent-plans</w:t>
        </w:r>
      </w:hyperlink>
    </w:p>
  </w:footnote>
  <w:footnote w:id="36">
    <w:p w14:paraId="611DD0C2" w14:textId="70A7E3BD" w:rsidR="00F3398D" w:rsidRPr="00134370" w:rsidRDefault="00F3398D" w:rsidP="00F3398D">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Catherine McGlynn and Shaun McDaid, </w:t>
      </w:r>
      <w:r w:rsidR="00386250" w:rsidRPr="00CB6804">
        <w:rPr>
          <w:rFonts w:cstheme="minorHAnsi"/>
          <w:i/>
          <w:iCs/>
          <w:sz w:val="20"/>
          <w:szCs w:val="20"/>
        </w:rPr>
        <w:t xml:space="preserve">supra </w:t>
      </w:r>
      <w:r w:rsidR="00386250" w:rsidRPr="00CB6804">
        <w:rPr>
          <w:rFonts w:cstheme="minorHAnsi"/>
          <w:sz w:val="20"/>
          <w:szCs w:val="20"/>
        </w:rPr>
        <w:t>note 4</w:t>
      </w:r>
      <w:r w:rsidR="00386250">
        <w:rPr>
          <w:rFonts w:cstheme="minorHAnsi"/>
          <w:sz w:val="20"/>
          <w:szCs w:val="20"/>
        </w:rPr>
        <w:t>,</w:t>
      </w:r>
      <w:r w:rsidRPr="00134370">
        <w:rPr>
          <w:rFonts w:cstheme="minorHAnsi"/>
          <w:sz w:val="20"/>
          <w:szCs w:val="20"/>
        </w:rPr>
        <w:t xml:space="preserve"> at 1</w:t>
      </w:r>
      <w:r w:rsidR="00134370">
        <w:rPr>
          <w:rFonts w:cstheme="minorHAnsi"/>
          <w:sz w:val="20"/>
          <w:szCs w:val="20"/>
        </w:rPr>
        <w:t>.</w:t>
      </w:r>
    </w:p>
  </w:footnote>
  <w:footnote w:id="37">
    <w:p w14:paraId="2E1D42C3" w14:textId="15B7B9EB" w:rsidR="00A25970" w:rsidRPr="00134370" w:rsidRDefault="00A25970" w:rsidP="00A25970">
      <w:pPr>
        <w:pStyle w:val="FootnoteText"/>
        <w:rPr>
          <w:rFonts w:cstheme="minorHAnsi"/>
          <w:sz w:val="20"/>
          <w:szCs w:val="20"/>
        </w:rPr>
      </w:pPr>
      <w:r w:rsidRPr="00134370">
        <w:rPr>
          <w:rStyle w:val="FootnoteReference"/>
          <w:rFonts w:cstheme="minorHAnsi"/>
          <w:sz w:val="20"/>
          <w:szCs w:val="20"/>
        </w:rPr>
        <w:footnoteRef/>
      </w:r>
      <w:r w:rsidRPr="00134370">
        <w:rPr>
          <w:rFonts w:cstheme="minorHAnsi"/>
          <w:sz w:val="20"/>
          <w:szCs w:val="20"/>
        </w:rPr>
        <w:t xml:space="preserve"> Home Office, E-learning on Prevent, 2016 at </w:t>
      </w:r>
      <w:hyperlink r:id="rId6" w:history="1">
        <w:r w:rsidRPr="00134370">
          <w:rPr>
            <w:rStyle w:val="Hyperlink"/>
            <w:rFonts w:cstheme="minorHAnsi"/>
            <w:sz w:val="20"/>
            <w:szCs w:val="20"/>
          </w:rPr>
          <w:t>https://www.elearning.prevent.homeoffice.gov.uk/edu/screen1.html</w:t>
        </w:r>
      </w:hyperlink>
      <w:r w:rsidRPr="00134370">
        <w:rPr>
          <w:rFonts w:cstheme="minorHAnsi"/>
          <w:sz w:val="20"/>
          <w:szCs w:val="20"/>
        </w:rPr>
        <w:t xml:space="preserve">, and  Catherine McGlynn and Shaun McDaid, </w:t>
      </w:r>
      <w:r w:rsidR="00386250" w:rsidRPr="00CB6804">
        <w:rPr>
          <w:rFonts w:cstheme="minorHAnsi"/>
          <w:i/>
          <w:iCs/>
          <w:sz w:val="20"/>
          <w:szCs w:val="20"/>
        </w:rPr>
        <w:t xml:space="preserve">supra </w:t>
      </w:r>
      <w:r w:rsidR="00386250" w:rsidRPr="00CB6804">
        <w:rPr>
          <w:rFonts w:cstheme="minorHAnsi"/>
          <w:sz w:val="20"/>
          <w:szCs w:val="20"/>
        </w:rPr>
        <w:t>note 4</w:t>
      </w:r>
      <w:r w:rsidR="00386250">
        <w:rPr>
          <w:rFonts w:cstheme="minorHAnsi"/>
          <w:sz w:val="20"/>
          <w:szCs w:val="20"/>
        </w:rPr>
        <w:t xml:space="preserve">, </w:t>
      </w:r>
      <w:r w:rsidRPr="00134370">
        <w:rPr>
          <w:rFonts w:cstheme="minorHAnsi"/>
          <w:sz w:val="20"/>
          <w:szCs w:val="20"/>
        </w:rPr>
        <w:t>at 102</w:t>
      </w:r>
      <w:r w:rsidR="00134370">
        <w:rPr>
          <w:rFonts w:cstheme="minorHAnsi"/>
          <w:sz w:val="20"/>
          <w:szCs w:val="20"/>
        </w:rPr>
        <w:t>.</w:t>
      </w:r>
    </w:p>
  </w:footnote>
  <w:footnote w:id="38">
    <w:p w14:paraId="2A7EDA3F" w14:textId="66AFB7F4" w:rsidR="00134370" w:rsidRPr="00134370" w:rsidRDefault="00A45D82" w:rsidP="00A45D82">
      <w:pPr>
        <w:pStyle w:val="FootnoteText"/>
        <w:rPr>
          <w:rFonts w:cstheme="minorHAnsi"/>
          <w:color w:val="0563C1" w:themeColor="hyperlink"/>
          <w:sz w:val="20"/>
          <w:szCs w:val="20"/>
          <w:u w:val="single"/>
        </w:rPr>
      </w:pPr>
      <w:r w:rsidRPr="00134370">
        <w:rPr>
          <w:rStyle w:val="FootnoteReference"/>
          <w:rFonts w:cstheme="minorHAnsi"/>
          <w:sz w:val="20"/>
          <w:szCs w:val="20"/>
        </w:rPr>
        <w:footnoteRef/>
      </w:r>
      <w:r w:rsidRPr="00134370">
        <w:rPr>
          <w:rFonts w:cstheme="minorHAnsi"/>
          <w:sz w:val="20"/>
          <w:szCs w:val="20"/>
        </w:rPr>
        <w:t xml:space="preserve"> Home Office National Statistics, </w:t>
      </w:r>
      <w:r w:rsidRPr="00134370">
        <w:rPr>
          <w:rFonts w:cstheme="minorHAnsi"/>
          <w:i/>
          <w:iCs/>
          <w:sz w:val="20"/>
          <w:szCs w:val="20"/>
        </w:rPr>
        <w:t>Operation of police powers under the Terrorism Act 2000 and subsequent legislation: Arrests, and outcomes, and stop and search Great Britain, year ending December 2020</w:t>
      </w:r>
      <w:r w:rsidRPr="00134370">
        <w:rPr>
          <w:rFonts w:cstheme="minorHAnsi"/>
          <w:sz w:val="20"/>
          <w:szCs w:val="20"/>
        </w:rPr>
        <w:t xml:space="preserve">, 4 March 2021, see Data Table A.12a, at </w:t>
      </w:r>
      <w:hyperlink r:id="rId7" w:history="1">
        <w:r w:rsidRPr="00134370">
          <w:rPr>
            <w:rStyle w:val="Hyperlink"/>
            <w:rFonts w:cstheme="minorHAnsi"/>
            <w:sz w:val="20"/>
            <w:szCs w:val="20"/>
          </w:rPr>
          <w:t>https://www.gov.uk/government/statistics/operation-of-police-powers-under-the-terrorism-act-2000-quarterly-update-to-december-2020/operation-of-police-powers-under-the-terrorism-act-2000-and-subsequent-legislation-arrests-outcomes-and-stop-and-search-great-britain-year-ending</w:t>
        </w:r>
      </w:hyperlink>
      <w:r w:rsidR="00134370" w:rsidRPr="00134370">
        <w:rPr>
          <w:rStyle w:val="Hyperlink"/>
          <w:rFonts w:cstheme="minorHAnsi"/>
          <w:color w:val="000000" w:themeColor="text1"/>
          <w:sz w:val="20"/>
          <w:szCs w:val="20"/>
          <w:u w:val="none"/>
        </w:rPr>
        <w:t>.</w:t>
      </w:r>
    </w:p>
  </w:footnote>
  <w:footnote w:id="39">
    <w:p w14:paraId="393BBF2E" w14:textId="687A1D6A" w:rsidR="00134370" w:rsidRPr="00134370" w:rsidRDefault="00A45D82" w:rsidP="00A45D82">
      <w:pPr>
        <w:rPr>
          <w:rFonts w:asciiTheme="minorHAnsi" w:hAnsiTheme="minorHAnsi" w:cstheme="minorHAnsi"/>
          <w:color w:val="0563C1" w:themeColor="hyperlink"/>
          <w:sz w:val="20"/>
          <w:szCs w:val="20"/>
          <w:u w:val="single"/>
        </w:rPr>
      </w:pPr>
      <w:r w:rsidRPr="00134370">
        <w:rPr>
          <w:rStyle w:val="FootnoteReference"/>
          <w:rFonts w:asciiTheme="minorHAnsi" w:hAnsiTheme="minorHAnsi" w:cstheme="minorHAnsi"/>
          <w:sz w:val="20"/>
          <w:szCs w:val="20"/>
        </w:rPr>
        <w:footnoteRef/>
      </w:r>
      <w:r w:rsidRPr="00134370">
        <w:rPr>
          <w:rFonts w:asciiTheme="minorHAnsi" w:hAnsiTheme="minorHAnsi" w:cstheme="minorHAnsi"/>
          <w:sz w:val="20"/>
          <w:szCs w:val="20"/>
        </w:rPr>
        <w:t xml:space="preserve"> Home Office Official Statistics, </w:t>
      </w:r>
      <w:r w:rsidRPr="00134370">
        <w:rPr>
          <w:rFonts w:asciiTheme="minorHAnsi" w:hAnsiTheme="minorHAnsi" w:cstheme="minorHAnsi"/>
          <w:color w:val="0B0C0C"/>
          <w:kern w:val="36"/>
          <w:sz w:val="20"/>
          <w:szCs w:val="20"/>
        </w:rPr>
        <w:t xml:space="preserve">Individuals referred to and supported through the Prevent </w:t>
      </w:r>
      <w:proofErr w:type="spellStart"/>
      <w:r w:rsidRPr="00134370">
        <w:rPr>
          <w:rFonts w:asciiTheme="minorHAnsi" w:hAnsiTheme="minorHAnsi" w:cstheme="minorHAnsi"/>
          <w:color w:val="0B0C0C"/>
          <w:kern w:val="36"/>
          <w:sz w:val="20"/>
          <w:szCs w:val="20"/>
        </w:rPr>
        <w:t>Programme</w:t>
      </w:r>
      <w:proofErr w:type="spellEnd"/>
      <w:r w:rsidRPr="00134370">
        <w:rPr>
          <w:rFonts w:asciiTheme="minorHAnsi" w:hAnsiTheme="minorHAnsi" w:cstheme="minorHAnsi"/>
          <w:color w:val="0B0C0C"/>
          <w:kern w:val="36"/>
          <w:sz w:val="20"/>
          <w:szCs w:val="20"/>
        </w:rPr>
        <w:t xml:space="preserve">, April 2017 to March 2018, </w:t>
      </w:r>
      <w:r w:rsidRPr="00134370">
        <w:rPr>
          <w:rFonts w:asciiTheme="minorHAnsi" w:hAnsiTheme="minorHAnsi" w:cstheme="minorHAnsi"/>
          <w:i/>
          <w:iCs/>
          <w:sz w:val="20"/>
          <w:szCs w:val="20"/>
        </w:rPr>
        <w:t>Annex B: Previous Channel data from April 2012 to March 2017</w:t>
      </w:r>
      <w:r w:rsidRPr="00134370">
        <w:rPr>
          <w:rFonts w:asciiTheme="minorHAnsi" w:hAnsiTheme="minorHAnsi" w:cstheme="minorHAnsi"/>
          <w:sz w:val="20"/>
          <w:szCs w:val="20"/>
        </w:rPr>
        <w:t xml:space="preserve"> (December 2018) at </w:t>
      </w:r>
      <w:hyperlink r:id="rId8" w:history="1">
        <w:r w:rsidRPr="00134370">
          <w:rPr>
            <w:rStyle w:val="Hyperlink"/>
            <w:rFonts w:asciiTheme="minorHAnsi" w:hAnsiTheme="minorHAnsi" w:cstheme="minorHAnsi"/>
            <w:sz w:val="20"/>
            <w:szCs w:val="20"/>
          </w:rPr>
          <w:t>https://www.gov.uk/government/statistics/individuals-referred-to-and-supported-through-the-prevent-programme-april-2017-to-march-2018</w:t>
        </w:r>
      </w:hyperlink>
      <w:r w:rsidR="00134370" w:rsidRPr="00134370">
        <w:rPr>
          <w:rStyle w:val="Hyperlink"/>
          <w:rFonts w:asciiTheme="minorHAnsi" w:hAnsiTheme="minorHAnsi" w:cstheme="minorHAnsi"/>
          <w:color w:val="000000" w:themeColor="text1"/>
          <w:sz w:val="20"/>
          <w:szCs w:val="20"/>
          <w:u w:val="none"/>
        </w:rPr>
        <w:t>.</w:t>
      </w:r>
    </w:p>
  </w:footnote>
  <w:footnote w:id="40">
    <w:p w14:paraId="16CF7454" w14:textId="77777777" w:rsidR="00A45D82" w:rsidRPr="001E19FB" w:rsidRDefault="00A45D82" w:rsidP="00A45D82">
      <w:pPr>
        <w:pStyle w:val="FootnoteText"/>
        <w:rPr>
          <w:rFonts w:cstheme="minorHAnsi"/>
          <w:sz w:val="20"/>
          <w:szCs w:val="20"/>
        </w:rPr>
      </w:pPr>
      <w:r w:rsidRPr="001E19FB">
        <w:rPr>
          <w:rStyle w:val="FootnoteReference"/>
          <w:rFonts w:cstheme="minorHAnsi"/>
          <w:sz w:val="20"/>
          <w:szCs w:val="20"/>
        </w:rPr>
        <w:footnoteRef/>
      </w:r>
      <w:r w:rsidRPr="001E19FB">
        <w:rPr>
          <w:rFonts w:cstheme="minorHAnsi"/>
          <w:sz w:val="20"/>
          <w:szCs w:val="20"/>
        </w:rPr>
        <w:t xml:space="preserve"> Home Office National Statistics, </w:t>
      </w:r>
      <w:r w:rsidRPr="001E19FB">
        <w:rPr>
          <w:rFonts w:cstheme="minorHAnsi"/>
          <w:i/>
          <w:iCs/>
          <w:sz w:val="20"/>
          <w:szCs w:val="20"/>
        </w:rPr>
        <w:t>Operation of police powers under the Terrorism Act 2000 and subsequent legislation: Arrests, and outcomes, and stop and search Great Britain, year ending December 2020</w:t>
      </w:r>
      <w:r w:rsidRPr="001E19FB">
        <w:rPr>
          <w:rFonts w:cstheme="minorHAnsi"/>
          <w:sz w:val="20"/>
          <w:szCs w:val="20"/>
        </w:rPr>
        <w:t xml:space="preserve">, 4 March 2021, see Data Table A.12a, at </w:t>
      </w:r>
      <w:hyperlink r:id="rId9" w:history="1">
        <w:r w:rsidRPr="001E19FB">
          <w:rPr>
            <w:rStyle w:val="Hyperlink"/>
            <w:rFonts w:cstheme="minorHAnsi"/>
            <w:sz w:val="20"/>
            <w:szCs w:val="20"/>
          </w:rPr>
          <w:t>https://www.gov.uk/government/statistics/operation-of-police-powers-under-the-terrorism-act-2000-quarterly-update-to-december-2020/operation-of-police-powers-under-the-terrorism-act-2000-and-subsequent-legislation-arrests-outcomes-and-stop-and-search-great-britain-year-ending</w:t>
        </w:r>
      </w:hyperlink>
    </w:p>
  </w:footnote>
  <w:footnote w:id="41">
    <w:p w14:paraId="2FAE7051" w14:textId="72EDCA55" w:rsidR="00A45D82" w:rsidRPr="0026549E" w:rsidRDefault="00A45D82" w:rsidP="00A45D82">
      <w:pPr>
        <w:pStyle w:val="FootnoteText"/>
        <w:rPr>
          <w:sz w:val="20"/>
          <w:szCs w:val="20"/>
        </w:rPr>
      </w:pPr>
      <w:r w:rsidRPr="0026549E">
        <w:rPr>
          <w:rStyle w:val="FootnoteReference"/>
          <w:sz w:val="20"/>
          <w:szCs w:val="20"/>
        </w:rPr>
        <w:footnoteRef/>
      </w:r>
      <w:r w:rsidRPr="0026549E">
        <w:rPr>
          <w:sz w:val="20"/>
          <w:szCs w:val="20"/>
        </w:rPr>
        <w:t xml:space="preserve"> </w:t>
      </w:r>
      <w:hyperlink r:id="rId10" w:anchor="do-prevent-and-channel-target-particular-groups" w:history="1">
        <w:r w:rsidRPr="0026549E">
          <w:rPr>
            <w:rStyle w:val="Hyperlink"/>
            <w:sz w:val="20"/>
            <w:szCs w:val="20"/>
          </w:rPr>
          <w:t>https://www.gov.uk/government/publications/counter-terrorism-and-border-security-bill-2018-factsheets/prevent-and-channel-panel-factsheet-accessible-version#do-prevent-and-channel-target-particular-groups</w:t>
        </w:r>
      </w:hyperlink>
      <w:r w:rsidR="00763B3A" w:rsidRPr="00763B3A">
        <w:rPr>
          <w:rStyle w:val="Hyperlink"/>
          <w:rFonts w:cstheme="minorHAnsi"/>
          <w:color w:val="000000" w:themeColor="text1"/>
          <w:sz w:val="20"/>
          <w:szCs w:val="20"/>
          <w:u w:val="none"/>
        </w:rPr>
        <w:t>.</w:t>
      </w:r>
    </w:p>
  </w:footnote>
  <w:footnote w:id="42">
    <w:p w14:paraId="521796EF" w14:textId="77777777" w:rsidR="00A45D82" w:rsidRPr="0026549E" w:rsidRDefault="00A45D82" w:rsidP="00A45D82">
      <w:pPr>
        <w:pStyle w:val="FootnoteText"/>
        <w:rPr>
          <w:sz w:val="20"/>
          <w:szCs w:val="20"/>
        </w:rPr>
      </w:pPr>
      <w:r w:rsidRPr="0026549E">
        <w:rPr>
          <w:rStyle w:val="FootnoteReference"/>
          <w:sz w:val="20"/>
          <w:szCs w:val="20"/>
        </w:rPr>
        <w:footnoteRef/>
      </w:r>
      <w:r w:rsidRPr="0026549E">
        <w:rPr>
          <w:sz w:val="20"/>
          <w:szCs w:val="20"/>
        </w:rPr>
        <w:t xml:space="preserve"> </w:t>
      </w:r>
      <w:r w:rsidRPr="0026549E">
        <w:rPr>
          <w:rFonts w:cstheme="minorHAnsi"/>
          <w:color w:val="231F20"/>
          <w:sz w:val="20"/>
          <w:szCs w:val="20"/>
        </w:rPr>
        <w:t xml:space="preserve">Karma Nabulsi, </w:t>
      </w:r>
      <w:r w:rsidRPr="0026549E">
        <w:rPr>
          <w:rFonts w:cstheme="minorHAnsi"/>
          <w:i/>
          <w:iCs/>
          <w:color w:val="231F20"/>
          <w:sz w:val="20"/>
          <w:szCs w:val="20"/>
        </w:rPr>
        <w:t>Don’t Go to the Doctor</w:t>
      </w:r>
      <w:r w:rsidRPr="0026549E">
        <w:rPr>
          <w:rFonts w:cstheme="minorHAnsi"/>
          <w:color w:val="231F20"/>
          <w:sz w:val="20"/>
          <w:szCs w:val="20"/>
        </w:rPr>
        <w:t>, London Review of Books, Vol. 39, No. 10 (18 May 2017).</w:t>
      </w:r>
    </w:p>
  </w:footnote>
  <w:footnote w:id="43">
    <w:p w14:paraId="43B3A3AC" w14:textId="4E0905E8" w:rsidR="003D3425" w:rsidRPr="003D3425" w:rsidRDefault="003D3425">
      <w:pPr>
        <w:pStyle w:val="FootnoteText"/>
        <w:rPr>
          <w:sz w:val="20"/>
          <w:szCs w:val="20"/>
        </w:rPr>
      </w:pPr>
      <w:r w:rsidRPr="003D3425">
        <w:rPr>
          <w:rStyle w:val="FootnoteReference"/>
          <w:sz w:val="20"/>
          <w:szCs w:val="20"/>
        </w:rPr>
        <w:footnoteRef/>
      </w:r>
      <w:r w:rsidRPr="003D3425">
        <w:rPr>
          <w:sz w:val="20"/>
          <w:szCs w:val="20"/>
        </w:rPr>
        <w:t xml:space="preserve"> The age of criminal responsibility is 12-years-old in Scotland</w:t>
      </w:r>
      <w:r w:rsidR="00763B3A">
        <w:rPr>
          <w:sz w:val="20"/>
          <w:szCs w:val="20"/>
        </w:rPr>
        <w:t>.</w:t>
      </w:r>
    </w:p>
  </w:footnote>
  <w:footnote w:id="44">
    <w:p w14:paraId="5A373D2E" w14:textId="65E08F7E" w:rsidR="00763B3A" w:rsidRPr="00763B3A" w:rsidRDefault="001E20BB" w:rsidP="001E20BB">
      <w:pPr>
        <w:pStyle w:val="FootnoteText"/>
        <w:jc w:val="both"/>
        <w:rPr>
          <w:rFonts w:cstheme="minorHAnsi"/>
          <w:color w:val="0563C1" w:themeColor="hyperlink"/>
          <w:sz w:val="20"/>
          <w:szCs w:val="20"/>
          <w:u w:val="single"/>
        </w:rPr>
      </w:pPr>
      <w:r w:rsidRPr="00ED6F3B">
        <w:rPr>
          <w:rStyle w:val="FootnoteReference"/>
          <w:sz w:val="20"/>
          <w:szCs w:val="20"/>
        </w:rPr>
        <w:footnoteRef/>
      </w:r>
      <w:r w:rsidRPr="00ED6F3B">
        <w:rPr>
          <w:sz w:val="20"/>
          <w:szCs w:val="20"/>
        </w:rPr>
        <w:t xml:space="preserve"> </w:t>
      </w:r>
      <w:r w:rsidRPr="00ED6F3B">
        <w:rPr>
          <w:rFonts w:cstheme="minorHAnsi"/>
          <w:sz w:val="20"/>
          <w:szCs w:val="20"/>
        </w:rPr>
        <w:t xml:space="preserve">Vikram Dodd and Dan Sabbagh, </w:t>
      </w:r>
      <w:r w:rsidRPr="00ED6F3B">
        <w:rPr>
          <w:rFonts w:cstheme="minorHAnsi"/>
          <w:i/>
          <w:iCs/>
          <w:sz w:val="20"/>
          <w:szCs w:val="20"/>
        </w:rPr>
        <w:t>David Amess killing: suspect referred to Channel counter-terrorist scheme in 2014</w:t>
      </w:r>
      <w:r w:rsidRPr="00ED6F3B">
        <w:rPr>
          <w:rFonts w:cstheme="minorHAnsi"/>
          <w:sz w:val="20"/>
          <w:szCs w:val="20"/>
        </w:rPr>
        <w:t xml:space="preserve">, The Guardian, 19 October 2021 at </w:t>
      </w:r>
      <w:hyperlink r:id="rId11" w:history="1">
        <w:r w:rsidRPr="00ED6F3B">
          <w:rPr>
            <w:rStyle w:val="Hyperlink"/>
            <w:rFonts w:cstheme="minorHAnsi"/>
            <w:sz w:val="20"/>
            <w:szCs w:val="20"/>
          </w:rPr>
          <w:t>https://www.theguardian.com/uk-news/2021/oct/19/david-amess-killing-suspect-referred-to-channel-counter-terror-scheme-in-2014</w:t>
        </w:r>
      </w:hyperlink>
      <w:r w:rsidR="00763B3A" w:rsidRPr="00763B3A">
        <w:rPr>
          <w:rStyle w:val="Hyperlink"/>
          <w:rFonts w:cstheme="minorHAnsi"/>
          <w:color w:val="000000" w:themeColor="text1"/>
          <w:sz w:val="20"/>
          <w:szCs w:val="20"/>
          <w:u w:val="none"/>
        </w:rPr>
        <w:t>.</w:t>
      </w:r>
    </w:p>
  </w:footnote>
  <w:footnote w:id="45">
    <w:p w14:paraId="72C1E912" w14:textId="4B346DC5" w:rsidR="00E23CE2" w:rsidRPr="00433E93" w:rsidRDefault="00E23CE2" w:rsidP="00E23CE2">
      <w:pPr>
        <w:pStyle w:val="FootnoteText"/>
        <w:rPr>
          <w:sz w:val="20"/>
          <w:szCs w:val="20"/>
        </w:rPr>
      </w:pPr>
      <w:r w:rsidRPr="00C65DA3">
        <w:rPr>
          <w:rStyle w:val="FootnoteReference"/>
          <w:sz w:val="20"/>
          <w:szCs w:val="20"/>
        </w:rPr>
        <w:footnoteRef/>
      </w:r>
      <w:r w:rsidRPr="00C65DA3">
        <w:rPr>
          <w:sz w:val="20"/>
          <w:szCs w:val="20"/>
        </w:rPr>
        <w:t xml:space="preserve"> </w:t>
      </w:r>
      <w:r w:rsidRPr="00C65DA3">
        <w:rPr>
          <w:rFonts w:eastAsia="Times New Roman" w:cstheme="minorHAnsi"/>
          <w:color w:val="000000" w:themeColor="text1"/>
          <w:sz w:val="20"/>
          <w:szCs w:val="20"/>
        </w:rPr>
        <w:t xml:space="preserve">Human Rights Council, </w:t>
      </w:r>
      <w:r w:rsidRPr="000B1613">
        <w:rPr>
          <w:rFonts w:eastAsia="Times New Roman" w:cstheme="minorHAnsi"/>
          <w:i/>
          <w:iCs/>
          <w:color w:val="000000" w:themeColor="text1"/>
          <w:sz w:val="20"/>
          <w:szCs w:val="20"/>
        </w:rPr>
        <w:t>Report of the Special Rapporteur on the promotion and protection of human rights and fundamental freedoms while countering terrorism</w:t>
      </w:r>
      <w:r w:rsidRPr="00433E93">
        <w:rPr>
          <w:rFonts w:eastAsia="Times New Roman" w:cstheme="minorHAnsi"/>
          <w:color w:val="000000" w:themeColor="text1"/>
          <w:sz w:val="20"/>
          <w:szCs w:val="20"/>
        </w:rPr>
        <w:t>, A/HRC/31/65, 22 February 2016, at 17</w:t>
      </w:r>
      <w:r w:rsidR="00763B3A">
        <w:rPr>
          <w:rFonts w:eastAsia="Times New Roman" w:cstheme="minorHAnsi"/>
          <w:color w:val="000000" w:themeColor="text1"/>
          <w:sz w:val="20"/>
          <w:szCs w:val="20"/>
        </w:rPr>
        <w:t>.</w:t>
      </w:r>
    </w:p>
  </w:footnote>
  <w:footnote w:id="46">
    <w:p w14:paraId="28D0C43F" w14:textId="25A34CD8" w:rsidR="00412DD2" w:rsidRPr="00A75C5D" w:rsidRDefault="00412DD2" w:rsidP="00412DD2">
      <w:pPr>
        <w:pStyle w:val="FootnoteText"/>
        <w:rPr>
          <w:sz w:val="20"/>
          <w:szCs w:val="20"/>
        </w:rPr>
      </w:pPr>
      <w:r w:rsidRPr="00DA3D2C">
        <w:rPr>
          <w:rStyle w:val="FootnoteReference"/>
          <w:sz w:val="20"/>
          <w:szCs w:val="20"/>
        </w:rPr>
        <w:footnoteRef/>
      </w:r>
      <w:r w:rsidRPr="00DA3D2C">
        <w:rPr>
          <w:sz w:val="20"/>
          <w:szCs w:val="20"/>
        </w:rPr>
        <w:t xml:space="preserve"> Home Office, </w:t>
      </w:r>
      <w:r w:rsidRPr="00763B3A">
        <w:rPr>
          <w:i/>
          <w:iCs/>
          <w:sz w:val="20"/>
          <w:szCs w:val="20"/>
        </w:rPr>
        <w:t>E-learning on Prevent</w:t>
      </w:r>
      <w:r w:rsidRPr="00DA3D2C">
        <w:rPr>
          <w:sz w:val="20"/>
          <w:szCs w:val="20"/>
        </w:rPr>
        <w:t xml:space="preserve">, 2016 at </w:t>
      </w:r>
      <w:hyperlink r:id="rId12" w:history="1">
        <w:r w:rsidRPr="009E0406">
          <w:rPr>
            <w:rStyle w:val="Hyperlink"/>
            <w:sz w:val="20"/>
            <w:szCs w:val="20"/>
          </w:rPr>
          <w:t>https://www.elearning.prevent.homeoffice.gov.uk/edu/screen1.html</w:t>
        </w:r>
      </w:hyperlink>
      <w:r>
        <w:rPr>
          <w:sz w:val="20"/>
          <w:szCs w:val="20"/>
        </w:rPr>
        <w:t xml:space="preserve">, and  </w:t>
      </w:r>
      <w:r w:rsidRPr="005B33A1">
        <w:rPr>
          <w:sz w:val="20"/>
          <w:szCs w:val="20"/>
        </w:rPr>
        <w:t xml:space="preserve">Catherine McGlynn and Shaun </w:t>
      </w:r>
      <w:r w:rsidRPr="00A75C5D">
        <w:rPr>
          <w:sz w:val="20"/>
          <w:szCs w:val="20"/>
        </w:rPr>
        <w:t xml:space="preserve">McDaid, </w:t>
      </w:r>
      <w:r w:rsidR="00EE560E" w:rsidRPr="00CB6804">
        <w:rPr>
          <w:rFonts w:cstheme="minorHAnsi"/>
          <w:i/>
          <w:iCs/>
          <w:sz w:val="20"/>
          <w:szCs w:val="20"/>
        </w:rPr>
        <w:t xml:space="preserve">supra </w:t>
      </w:r>
      <w:r w:rsidR="00EE560E" w:rsidRPr="00CB6804">
        <w:rPr>
          <w:rFonts w:cstheme="minorHAnsi"/>
          <w:sz w:val="20"/>
          <w:szCs w:val="20"/>
        </w:rPr>
        <w:t>note 4</w:t>
      </w:r>
      <w:r w:rsidR="00EE560E">
        <w:rPr>
          <w:rFonts w:cstheme="minorHAnsi"/>
          <w:sz w:val="20"/>
          <w:szCs w:val="20"/>
        </w:rPr>
        <w:t>,</w:t>
      </w:r>
      <w:r w:rsidRPr="00A75C5D">
        <w:rPr>
          <w:sz w:val="20"/>
          <w:szCs w:val="20"/>
        </w:rPr>
        <w:t xml:space="preserve"> at 102</w:t>
      </w:r>
      <w:r w:rsidR="00763B3A">
        <w:rPr>
          <w:sz w:val="20"/>
          <w:szCs w:val="20"/>
        </w:rPr>
        <w:t>.</w:t>
      </w:r>
    </w:p>
  </w:footnote>
  <w:footnote w:id="47">
    <w:p w14:paraId="1722EDBE" w14:textId="46449AB0" w:rsidR="00851D89" w:rsidRPr="00AD6059" w:rsidRDefault="00851D89" w:rsidP="00851D89">
      <w:pPr>
        <w:pStyle w:val="BodyText"/>
        <w:jc w:val="both"/>
        <w:rPr>
          <w:rFonts w:asciiTheme="minorHAnsi" w:eastAsia="Times New Roman" w:hAnsiTheme="minorHAnsi" w:cstheme="minorHAnsi"/>
          <w:color w:val="0B0C0C"/>
          <w:sz w:val="20"/>
          <w:szCs w:val="20"/>
        </w:rPr>
      </w:pPr>
      <w:r w:rsidRPr="00AD6059">
        <w:rPr>
          <w:rStyle w:val="FootnoteReference"/>
          <w:rFonts w:asciiTheme="minorHAnsi" w:hAnsiTheme="minorHAnsi" w:cstheme="minorHAnsi"/>
          <w:sz w:val="20"/>
          <w:szCs w:val="20"/>
        </w:rPr>
        <w:footnoteRef/>
      </w:r>
      <w:r w:rsidRPr="00AD6059">
        <w:rPr>
          <w:rFonts w:asciiTheme="minorHAnsi" w:hAnsiTheme="minorHAnsi" w:cstheme="minorHAnsi"/>
          <w:sz w:val="20"/>
          <w:szCs w:val="20"/>
        </w:rPr>
        <w:t xml:space="preserve"> </w:t>
      </w:r>
      <w:r w:rsidRPr="00AD6059">
        <w:rPr>
          <w:rFonts w:asciiTheme="minorHAnsi" w:eastAsia="Times New Roman" w:hAnsiTheme="minorHAnsi" w:cstheme="minorHAnsi"/>
          <w:color w:val="000000" w:themeColor="text1"/>
          <w:sz w:val="20"/>
          <w:szCs w:val="20"/>
        </w:rPr>
        <w:t xml:space="preserve">Human Rights Council, </w:t>
      </w:r>
      <w:r w:rsidRPr="000B1613">
        <w:rPr>
          <w:rFonts w:asciiTheme="minorHAnsi" w:eastAsia="Times New Roman" w:hAnsiTheme="minorHAnsi" w:cstheme="minorHAnsi"/>
          <w:i/>
          <w:iCs/>
          <w:color w:val="000000" w:themeColor="text1"/>
          <w:sz w:val="20"/>
          <w:szCs w:val="20"/>
        </w:rPr>
        <w:t>Report of the Special Rapporteur on the promotion and protection of human rights and fundamental freedoms while countering terrorism</w:t>
      </w:r>
      <w:r w:rsidRPr="00AD6059">
        <w:rPr>
          <w:rFonts w:asciiTheme="minorHAnsi" w:eastAsia="Times New Roman" w:hAnsiTheme="minorHAnsi" w:cstheme="minorHAnsi"/>
          <w:color w:val="000000" w:themeColor="text1"/>
          <w:sz w:val="20"/>
          <w:szCs w:val="20"/>
        </w:rPr>
        <w:t>, A/HRC/31/65, 22 February 2016, at 1</w:t>
      </w:r>
      <w:r>
        <w:rPr>
          <w:rFonts w:asciiTheme="minorHAnsi" w:eastAsia="Times New Roman" w:hAnsiTheme="minorHAnsi" w:cstheme="minorHAnsi"/>
          <w:color w:val="000000" w:themeColor="text1"/>
          <w:sz w:val="20"/>
          <w:szCs w:val="20"/>
        </w:rPr>
        <w:t>8</w:t>
      </w:r>
      <w:r w:rsidR="00763B3A">
        <w:rPr>
          <w:rFonts w:asciiTheme="minorHAnsi" w:eastAsia="Times New Roman" w:hAnsiTheme="minorHAnsi" w:cstheme="minorHAnsi"/>
          <w:color w:val="000000" w:themeColor="text1"/>
          <w:sz w:val="20"/>
          <w:szCs w:val="20"/>
        </w:rPr>
        <w:t>.</w:t>
      </w:r>
    </w:p>
  </w:footnote>
  <w:footnote w:id="48">
    <w:p w14:paraId="7421017C" w14:textId="50EF37B0" w:rsidR="00900A87" w:rsidRPr="00271A4A" w:rsidRDefault="00900A87" w:rsidP="00900A87">
      <w:pPr>
        <w:pStyle w:val="FootnoteText"/>
        <w:rPr>
          <w:sz w:val="20"/>
          <w:szCs w:val="20"/>
        </w:rPr>
      </w:pPr>
      <w:r w:rsidRPr="00271A4A">
        <w:rPr>
          <w:rStyle w:val="FootnoteReference"/>
          <w:sz w:val="20"/>
          <w:szCs w:val="20"/>
        </w:rPr>
        <w:footnoteRef/>
      </w:r>
      <w:r w:rsidRPr="00271A4A">
        <w:rPr>
          <w:sz w:val="20"/>
          <w:szCs w:val="20"/>
        </w:rPr>
        <w:t xml:space="preserve"> Diane Taylor, </w:t>
      </w:r>
      <w:r w:rsidRPr="00271A4A">
        <w:rPr>
          <w:i/>
          <w:iCs/>
          <w:sz w:val="20"/>
          <w:szCs w:val="20"/>
        </w:rPr>
        <w:t>Boy, 11, referred to Prevent for wanting to give ‘alms to the oppressed’</w:t>
      </w:r>
      <w:r w:rsidRPr="00271A4A">
        <w:rPr>
          <w:sz w:val="20"/>
          <w:szCs w:val="20"/>
        </w:rPr>
        <w:t xml:space="preserve">, The Guardian, 27 June 2021 at </w:t>
      </w:r>
      <w:hyperlink r:id="rId13" w:history="1">
        <w:r w:rsidRPr="00271A4A">
          <w:rPr>
            <w:rStyle w:val="Hyperlink"/>
            <w:sz w:val="20"/>
            <w:szCs w:val="20"/>
          </w:rPr>
          <w:t>https://www.theguardian.com/uk-news/2021/jun/27/boy-11-referred-to-prevent-for-wanting-to-give-alms-to-the-oppressed</w:t>
        </w:r>
      </w:hyperlink>
      <w:r w:rsidR="00763B3A" w:rsidRPr="00763B3A">
        <w:rPr>
          <w:rStyle w:val="Hyperlink"/>
          <w:rFonts w:cstheme="minorHAnsi"/>
          <w:color w:val="000000" w:themeColor="text1"/>
          <w:sz w:val="20"/>
          <w:szCs w:val="20"/>
          <w:u w:val="none"/>
        </w:rPr>
        <w:t>.</w:t>
      </w:r>
    </w:p>
  </w:footnote>
  <w:footnote w:id="49">
    <w:p w14:paraId="70D04366" w14:textId="3C3AA77B" w:rsidR="00BB22E9" w:rsidRPr="00B66F53" w:rsidRDefault="00BB22E9" w:rsidP="00BB22E9">
      <w:pPr>
        <w:pStyle w:val="FootnoteText"/>
        <w:rPr>
          <w:sz w:val="20"/>
          <w:szCs w:val="20"/>
        </w:rPr>
      </w:pPr>
      <w:r w:rsidRPr="00083718">
        <w:rPr>
          <w:rStyle w:val="FootnoteReference"/>
          <w:sz w:val="20"/>
          <w:szCs w:val="20"/>
        </w:rPr>
        <w:footnoteRef/>
      </w:r>
      <w:r w:rsidRPr="00083718">
        <w:rPr>
          <w:sz w:val="20"/>
          <w:szCs w:val="20"/>
        </w:rPr>
        <w:t xml:space="preserve"> Stijn </w:t>
      </w:r>
      <w:proofErr w:type="spellStart"/>
      <w:r w:rsidRPr="00083718">
        <w:rPr>
          <w:sz w:val="20"/>
          <w:szCs w:val="20"/>
        </w:rPr>
        <w:t>Sie</w:t>
      </w:r>
      <w:r w:rsidR="00B01F3F">
        <w:rPr>
          <w:sz w:val="20"/>
          <w:szCs w:val="20"/>
        </w:rPr>
        <w:t>c</w:t>
      </w:r>
      <w:r w:rsidRPr="00083718">
        <w:rPr>
          <w:sz w:val="20"/>
          <w:szCs w:val="20"/>
        </w:rPr>
        <w:t>kelinck</w:t>
      </w:r>
      <w:proofErr w:type="spellEnd"/>
      <w:r w:rsidRPr="00083718">
        <w:rPr>
          <w:sz w:val="20"/>
          <w:szCs w:val="20"/>
        </w:rPr>
        <w:t xml:space="preserve">, </w:t>
      </w:r>
      <w:proofErr w:type="spellStart"/>
      <w:r w:rsidRPr="00083718">
        <w:rPr>
          <w:sz w:val="20"/>
          <w:szCs w:val="20"/>
        </w:rPr>
        <w:t>Femke</w:t>
      </w:r>
      <w:proofErr w:type="spellEnd"/>
      <w:r w:rsidRPr="00083718">
        <w:rPr>
          <w:sz w:val="20"/>
          <w:szCs w:val="20"/>
        </w:rPr>
        <w:t xml:space="preserve"> </w:t>
      </w:r>
      <w:proofErr w:type="spellStart"/>
      <w:r w:rsidRPr="00083718">
        <w:rPr>
          <w:sz w:val="20"/>
          <w:szCs w:val="20"/>
        </w:rPr>
        <w:t>Kaulingfreks</w:t>
      </w:r>
      <w:proofErr w:type="spellEnd"/>
      <w:r w:rsidRPr="00083718">
        <w:rPr>
          <w:sz w:val="20"/>
          <w:szCs w:val="20"/>
        </w:rPr>
        <w:t xml:space="preserve"> and Micha de Winter, </w:t>
      </w:r>
      <w:r w:rsidR="00386250">
        <w:rPr>
          <w:i/>
          <w:iCs/>
          <w:sz w:val="20"/>
          <w:szCs w:val="20"/>
        </w:rPr>
        <w:t xml:space="preserve">supra </w:t>
      </w:r>
      <w:r w:rsidR="00386250" w:rsidRPr="00386250">
        <w:rPr>
          <w:sz w:val="20"/>
          <w:szCs w:val="20"/>
        </w:rPr>
        <w:t>note 18</w:t>
      </w:r>
      <w:r w:rsidRPr="00386250">
        <w:rPr>
          <w:sz w:val="20"/>
          <w:szCs w:val="20"/>
        </w:rPr>
        <w:t>,</w:t>
      </w:r>
      <w:r w:rsidRPr="00B66F53">
        <w:rPr>
          <w:sz w:val="20"/>
          <w:szCs w:val="20"/>
        </w:rPr>
        <w:t xml:space="preserve"> at 33</w:t>
      </w:r>
      <w:r>
        <w:rPr>
          <w:sz w:val="20"/>
          <w:szCs w:val="20"/>
        </w:rPr>
        <w:t>9</w:t>
      </w:r>
      <w:r w:rsidR="00763B3A">
        <w:rPr>
          <w:sz w:val="20"/>
          <w:szCs w:val="20"/>
        </w:rPr>
        <w:t>.</w:t>
      </w:r>
    </w:p>
  </w:footnote>
  <w:footnote w:id="50">
    <w:p w14:paraId="3142EA76" w14:textId="6C785CF0" w:rsidR="00900A87" w:rsidRPr="00DB0852" w:rsidRDefault="00900A87" w:rsidP="00900A87">
      <w:pPr>
        <w:pStyle w:val="FootnoteText"/>
        <w:rPr>
          <w:sz w:val="20"/>
          <w:szCs w:val="20"/>
        </w:rPr>
      </w:pPr>
      <w:r w:rsidRPr="00271A4A">
        <w:rPr>
          <w:rStyle w:val="FootnoteReference"/>
          <w:sz w:val="20"/>
          <w:szCs w:val="20"/>
        </w:rPr>
        <w:footnoteRef/>
      </w:r>
      <w:r w:rsidRPr="00271A4A">
        <w:rPr>
          <w:sz w:val="20"/>
          <w:szCs w:val="20"/>
        </w:rPr>
        <w:t xml:space="preserve"> Stijn </w:t>
      </w:r>
      <w:proofErr w:type="spellStart"/>
      <w:r w:rsidRPr="00271A4A">
        <w:rPr>
          <w:sz w:val="20"/>
          <w:szCs w:val="20"/>
        </w:rPr>
        <w:t>Sie</w:t>
      </w:r>
      <w:r w:rsidR="00B01F3F">
        <w:rPr>
          <w:sz w:val="20"/>
          <w:szCs w:val="20"/>
        </w:rPr>
        <w:t>c</w:t>
      </w:r>
      <w:r w:rsidRPr="00271A4A">
        <w:rPr>
          <w:sz w:val="20"/>
          <w:szCs w:val="20"/>
        </w:rPr>
        <w:t>kelinck</w:t>
      </w:r>
      <w:proofErr w:type="spellEnd"/>
      <w:r w:rsidRPr="00271A4A">
        <w:rPr>
          <w:sz w:val="20"/>
          <w:szCs w:val="20"/>
        </w:rPr>
        <w:t xml:space="preserve">, </w:t>
      </w:r>
      <w:proofErr w:type="spellStart"/>
      <w:r w:rsidRPr="00271A4A">
        <w:rPr>
          <w:sz w:val="20"/>
          <w:szCs w:val="20"/>
        </w:rPr>
        <w:t>Femke</w:t>
      </w:r>
      <w:proofErr w:type="spellEnd"/>
      <w:r w:rsidRPr="00271A4A">
        <w:rPr>
          <w:sz w:val="20"/>
          <w:szCs w:val="20"/>
        </w:rPr>
        <w:t xml:space="preserve"> </w:t>
      </w:r>
      <w:proofErr w:type="spellStart"/>
      <w:r w:rsidRPr="00271A4A">
        <w:rPr>
          <w:sz w:val="20"/>
          <w:szCs w:val="20"/>
        </w:rPr>
        <w:t>Kaulingfreks</w:t>
      </w:r>
      <w:proofErr w:type="spellEnd"/>
      <w:r w:rsidRPr="00271A4A">
        <w:rPr>
          <w:sz w:val="20"/>
          <w:szCs w:val="20"/>
        </w:rPr>
        <w:t xml:space="preserve"> and Micha de Winter, </w:t>
      </w:r>
      <w:r w:rsidR="00386250">
        <w:rPr>
          <w:i/>
          <w:iCs/>
          <w:sz w:val="20"/>
          <w:szCs w:val="20"/>
        </w:rPr>
        <w:t xml:space="preserve">supra </w:t>
      </w:r>
      <w:r w:rsidR="00386250" w:rsidRPr="00386250">
        <w:rPr>
          <w:sz w:val="20"/>
          <w:szCs w:val="20"/>
        </w:rPr>
        <w:t>note 18,</w:t>
      </w:r>
      <w:r w:rsidR="00386250" w:rsidRPr="00B66F53">
        <w:rPr>
          <w:sz w:val="20"/>
          <w:szCs w:val="20"/>
        </w:rPr>
        <w:t xml:space="preserve"> </w:t>
      </w:r>
      <w:r w:rsidRPr="00DB0852">
        <w:rPr>
          <w:sz w:val="20"/>
          <w:szCs w:val="20"/>
        </w:rPr>
        <w:t>at 338</w:t>
      </w:r>
      <w:r w:rsidR="00763B3A">
        <w:rPr>
          <w:sz w:val="20"/>
          <w:szCs w:val="20"/>
        </w:rPr>
        <w:t>.</w:t>
      </w:r>
    </w:p>
  </w:footnote>
  <w:footnote w:id="51">
    <w:p w14:paraId="76AEA453" w14:textId="36A37C73" w:rsidR="00271A4A" w:rsidRPr="00DB0852" w:rsidRDefault="00271A4A">
      <w:pPr>
        <w:pStyle w:val="FootnoteText"/>
        <w:rPr>
          <w:sz w:val="20"/>
          <w:szCs w:val="20"/>
        </w:rPr>
      </w:pPr>
      <w:r w:rsidRPr="00DB0852">
        <w:rPr>
          <w:rStyle w:val="FootnoteReference"/>
          <w:sz w:val="20"/>
          <w:szCs w:val="20"/>
        </w:rPr>
        <w:footnoteRef/>
      </w:r>
      <w:r w:rsidRPr="00DB0852">
        <w:rPr>
          <w:sz w:val="20"/>
          <w:szCs w:val="20"/>
        </w:rPr>
        <w:t xml:space="preserve"> </w:t>
      </w:r>
      <w:r w:rsidRPr="00DB0852">
        <w:rPr>
          <w:rFonts w:eastAsia="Times New Roman" w:cstheme="minorHAnsi"/>
          <w:sz w:val="20"/>
          <w:szCs w:val="20"/>
        </w:rPr>
        <w:t xml:space="preserve">Gabe Mythen, Sandra </w:t>
      </w:r>
      <w:proofErr w:type="spellStart"/>
      <w:r w:rsidRPr="00DB0852">
        <w:rPr>
          <w:rFonts w:eastAsia="Times New Roman" w:cstheme="minorHAnsi"/>
          <w:sz w:val="20"/>
          <w:szCs w:val="20"/>
        </w:rPr>
        <w:t>Walklate</w:t>
      </w:r>
      <w:proofErr w:type="spellEnd"/>
      <w:r w:rsidRPr="00DB0852">
        <w:rPr>
          <w:rFonts w:eastAsia="Times New Roman" w:cstheme="minorHAnsi"/>
          <w:sz w:val="20"/>
          <w:szCs w:val="20"/>
        </w:rPr>
        <w:t xml:space="preserve"> and Elizabeth-Jane </w:t>
      </w:r>
      <w:proofErr w:type="spellStart"/>
      <w:r w:rsidRPr="00DB0852">
        <w:rPr>
          <w:rFonts w:eastAsia="Times New Roman" w:cstheme="minorHAnsi"/>
          <w:sz w:val="20"/>
          <w:szCs w:val="20"/>
        </w:rPr>
        <w:t>Peatfield</w:t>
      </w:r>
      <w:proofErr w:type="spellEnd"/>
      <w:r w:rsidRPr="00DB0852">
        <w:rPr>
          <w:rFonts w:eastAsia="Times New Roman" w:cstheme="minorHAnsi"/>
          <w:sz w:val="20"/>
          <w:szCs w:val="20"/>
        </w:rPr>
        <w:t xml:space="preserve">, </w:t>
      </w:r>
      <w:r w:rsidR="00EE560E" w:rsidRPr="00CB6804">
        <w:rPr>
          <w:rFonts w:eastAsia="Times New Roman" w:cstheme="minorHAnsi"/>
          <w:i/>
          <w:iCs/>
          <w:sz w:val="20"/>
          <w:szCs w:val="20"/>
        </w:rPr>
        <w:t xml:space="preserve">supra </w:t>
      </w:r>
      <w:r w:rsidR="00EE560E" w:rsidRPr="00CB6804">
        <w:rPr>
          <w:rFonts w:eastAsia="Times New Roman" w:cstheme="minorHAnsi"/>
          <w:sz w:val="20"/>
          <w:szCs w:val="20"/>
        </w:rPr>
        <w:t xml:space="preserve">note 12, </w:t>
      </w:r>
      <w:r w:rsidRPr="00DB0852">
        <w:rPr>
          <w:rFonts w:eastAsia="Times New Roman" w:cstheme="minorHAnsi"/>
          <w:sz w:val="20"/>
          <w:szCs w:val="20"/>
        </w:rPr>
        <w:t>at 182</w:t>
      </w:r>
      <w:r w:rsidR="00763B3A">
        <w:rPr>
          <w:rFonts w:eastAsia="Times New Roman" w:cstheme="minorHAnsi"/>
          <w:sz w:val="20"/>
          <w:szCs w:val="20"/>
        </w:rPr>
        <w:t>.</w:t>
      </w:r>
    </w:p>
  </w:footnote>
  <w:footnote w:id="52">
    <w:p w14:paraId="7F00837F" w14:textId="23A4A5FB" w:rsidR="00DB0852" w:rsidRPr="00DB0852" w:rsidRDefault="00DB0852">
      <w:pPr>
        <w:pStyle w:val="FootnoteText"/>
        <w:rPr>
          <w:sz w:val="20"/>
          <w:szCs w:val="20"/>
        </w:rPr>
      </w:pPr>
      <w:r w:rsidRPr="00DB0852">
        <w:rPr>
          <w:rStyle w:val="FootnoteReference"/>
          <w:sz w:val="20"/>
          <w:szCs w:val="20"/>
        </w:rPr>
        <w:footnoteRef/>
      </w:r>
      <w:r w:rsidRPr="00DB0852">
        <w:rPr>
          <w:sz w:val="20"/>
          <w:szCs w:val="20"/>
        </w:rPr>
        <w:t xml:space="preserve"> </w:t>
      </w:r>
      <w:r w:rsidRPr="00DB0852">
        <w:rPr>
          <w:rFonts w:eastAsia="Times New Roman" w:cstheme="minorHAnsi"/>
          <w:sz w:val="20"/>
          <w:szCs w:val="20"/>
        </w:rPr>
        <w:t xml:space="preserve">Gabe Mythen, Sandra </w:t>
      </w:r>
      <w:proofErr w:type="spellStart"/>
      <w:r w:rsidRPr="00DB0852">
        <w:rPr>
          <w:rFonts w:eastAsia="Times New Roman" w:cstheme="minorHAnsi"/>
          <w:sz w:val="20"/>
          <w:szCs w:val="20"/>
        </w:rPr>
        <w:t>Walklate</w:t>
      </w:r>
      <w:proofErr w:type="spellEnd"/>
      <w:r w:rsidRPr="00DB0852">
        <w:rPr>
          <w:rFonts w:eastAsia="Times New Roman" w:cstheme="minorHAnsi"/>
          <w:sz w:val="20"/>
          <w:szCs w:val="20"/>
        </w:rPr>
        <w:t xml:space="preserve"> and Elizabeth-Jane </w:t>
      </w:r>
      <w:proofErr w:type="spellStart"/>
      <w:r w:rsidRPr="00DB0852">
        <w:rPr>
          <w:rFonts w:eastAsia="Times New Roman" w:cstheme="minorHAnsi"/>
          <w:sz w:val="20"/>
          <w:szCs w:val="20"/>
        </w:rPr>
        <w:t>Peatfield</w:t>
      </w:r>
      <w:proofErr w:type="spellEnd"/>
      <w:r w:rsidRPr="00DB0852">
        <w:rPr>
          <w:rFonts w:eastAsia="Times New Roman" w:cstheme="minorHAnsi"/>
          <w:sz w:val="20"/>
          <w:szCs w:val="20"/>
        </w:rPr>
        <w:t xml:space="preserve">, </w:t>
      </w:r>
      <w:r w:rsidR="00EE560E" w:rsidRPr="00CB6804">
        <w:rPr>
          <w:rFonts w:eastAsia="Times New Roman" w:cstheme="minorHAnsi"/>
          <w:i/>
          <w:iCs/>
          <w:sz w:val="20"/>
          <w:szCs w:val="20"/>
        </w:rPr>
        <w:t xml:space="preserve">supra </w:t>
      </w:r>
      <w:r w:rsidR="00EE560E" w:rsidRPr="00CB6804">
        <w:rPr>
          <w:rFonts w:eastAsia="Times New Roman" w:cstheme="minorHAnsi"/>
          <w:sz w:val="20"/>
          <w:szCs w:val="20"/>
        </w:rPr>
        <w:t>note 12,</w:t>
      </w:r>
      <w:r w:rsidRPr="00DB0852">
        <w:rPr>
          <w:rFonts w:eastAsia="Times New Roman" w:cstheme="minorHAnsi"/>
          <w:sz w:val="20"/>
          <w:szCs w:val="20"/>
        </w:rPr>
        <w:t xml:space="preserve"> at 191</w:t>
      </w:r>
      <w:r w:rsidR="00763B3A">
        <w:rPr>
          <w:rFonts w:eastAsia="Times New Roman" w:cstheme="minorHAnsi"/>
          <w:sz w:val="20"/>
          <w:szCs w:val="20"/>
        </w:rPr>
        <w:t>.</w:t>
      </w:r>
    </w:p>
  </w:footnote>
  <w:footnote w:id="53">
    <w:p w14:paraId="770A4810" w14:textId="2EB60E3B" w:rsidR="00271A4A" w:rsidRPr="00DB0852" w:rsidRDefault="00271A4A">
      <w:pPr>
        <w:pStyle w:val="FootnoteText"/>
        <w:rPr>
          <w:sz w:val="20"/>
          <w:szCs w:val="20"/>
        </w:rPr>
      </w:pPr>
      <w:r w:rsidRPr="00DB0852">
        <w:rPr>
          <w:rStyle w:val="FootnoteReference"/>
          <w:sz w:val="20"/>
          <w:szCs w:val="20"/>
        </w:rPr>
        <w:footnoteRef/>
      </w:r>
      <w:r w:rsidRPr="00DB0852">
        <w:rPr>
          <w:sz w:val="20"/>
          <w:szCs w:val="20"/>
        </w:rPr>
        <w:t xml:space="preserve"> Arun </w:t>
      </w:r>
      <w:proofErr w:type="spellStart"/>
      <w:r w:rsidRPr="00DB0852">
        <w:rPr>
          <w:sz w:val="20"/>
          <w:szCs w:val="20"/>
        </w:rPr>
        <w:t>Kundnani</w:t>
      </w:r>
      <w:proofErr w:type="spellEnd"/>
      <w:r w:rsidRPr="00DB0852">
        <w:rPr>
          <w:sz w:val="20"/>
          <w:szCs w:val="20"/>
        </w:rPr>
        <w:t xml:space="preserve">, </w:t>
      </w:r>
      <w:r w:rsidRPr="00DB0852">
        <w:rPr>
          <w:i/>
          <w:iCs/>
          <w:sz w:val="20"/>
          <w:szCs w:val="20"/>
        </w:rPr>
        <w:t xml:space="preserve">A Decade Lost: Rethinking </w:t>
      </w:r>
      <w:proofErr w:type="spellStart"/>
      <w:r w:rsidRPr="00DB0852">
        <w:rPr>
          <w:i/>
          <w:iCs/>
          <w:sz w:val="20"/>
          <w:szCs w:val="20"/>
        </w:rPr>
        <w:t>Radicalisation</w:t>
      </w:r>
      <w:proofErr w:type="spellEnd"/>
      <w:r w:rsidRPr="00DB0852">
        <w:rPr>
          <w:i/>
          <w:iCs/>
          <w:sz w:val="20"/>
          <w:szCs w:val="20"/>
        </w:rPr>
        <w:t xml:space="preserve"> and Extremism</w:t>
      </w:r>
      <w:r w:rsidRPr="00DB0852">
        <w:rPr>
          <w:sz w:val="20"/>
          <w:szCs w:val="20"/>
        </w:rPr>
        <w:t xml:space="preserve"> (Claystone Publications; 2015) at 29</w:t>
      </w:r>
      <w:r w:rsidR="00763B3A">
        <w:rPr>
          <w:sz w:val="20"/>
          <w:szCs w:val="20"/>
        </w:rPr>
        <w:t>.</w:t>
      </w:r>
    </w:p>
  </w:footnote>
  <w:footnote w:id="54">
    <w:p w14:paraId="2CBF0A49" w14:textId="1B1B8E48" w:rsidR="006E428F" w:rsidRPr="00655A93" w:rsidRDefault="006E428F" w:rsidP="006E428F">
      <w:pPr>
        <w:pStyle w:val="FootnoteText"/>
        <w:rPr>
          <w:sz w:val="20"/>
          <w:szCs w:val="20"/>
        </w:rPr>
      </w:pPr>
      <w:r w:rsidRPr="00DB0852">
        <w:rPr>
          <w:rStyle w:val="FootnoteReference"/>
          <w:sz w:val="20"/>
          <w:szCs w:val="20"/>
        </w:rPr>
        <w:footnoteRef/>
      </w:r>
      <w:r w:rsidRPr="00DB0852">
        <w:rPr>
          <w:sz w:val="20"/>
          <w:szCs w:val="20"/>
        </w:rPr>
        <w:t xml:space="preserve"> </w:t>
      </w:r>
      <w:r w:rsidRPr="00DB0852">
        <w:rPr>
          <w:rFonts w:eastAsia="Times New Roman" w:cstheme="minorHAnsi"/>
          <w:sz w:val="20"/>
          <w:szCs w:val="20"/>
        </w:rPr>
        <w:t xml:space="preserve">Gabe Mythen, Sandra </w:t>
      </w:r>
      <w:proofErr w:type="spellStart"/>
      <w:r w:rsidRPr="00DB0852">
        <w:rPr>
          <w:rFonts w:eastAsia="Times New Roman" w:cstheme="minorHAnsi"/>
          <w:sz w:val="20"/>
          <w:szCs w:val="20"/>
        </w:rPr>
        <w:t>Walklate</w:t>
      </w:r>
      <w:proofErr w:type="spellEnd"/>
      <w:r w:rsidRPr="00DB0852">
        <w:rPr>
          <w:rFonts w:eastAsia="Times New Roman" w:cstheme="minorHAnsi"/>
          <w:sz w:val="20"/>
          <w:szCs w:val="20"/>
        </w:rPr>
        <w:t xml:space="preserve"> and Elizabeth-Jane </w:t>
      </w:r>
      <w:proofErr w:type="spellStart"/>
      <w:r w:rsidRPr="00DB0852">
        <w:rPr>
          <w:rFonts w:eastAsia="Times New Roman" w:cstheme="minorHAnsi"/>
          <w:sz w:val="20"/>
          <w:szCs w:val="20"/>
        </w:rPr>
        <w:t>Peatfield</w:t>
      </w:r>
      <w:proofErr w:type="spellEnd"/>
      <w:r w:rsidRPr="00DB0852">
        <w:rPr>
          <w:rFonts w:eastAsia="Times New Roman" w:cstheme="minorHAnsi"/>
          <w:sz w:val="20"/>
          <w:szCs w:val="20"/>
        </w:rPr>
        <w:t xml:space="preserve">, </w:t>
      </w:r>
      <w:r w:rsidR="00EE560E" w:rsidRPr="00CB6804">
        <w:rPr>
          <w:rFonts w:eastAsia="Times New Roman" w:cstheme="minorHAnsi"/>
          <w:i/>
          <w:iCs/>
          <w:sz w:val="20"/>
          <w:szCs w:val="20"/>
        </w:rPr>
        <w:t xml:space="preserve">supra </w:t>
      </w:r>
      <w:r w:rsidR="00EE560E" w:rsidRPr="00CB6804">
        <w:rPr>
          <w:rFonts w:eastAsia="Times New Roman" w:cstheme="minorHAnsi"/>
          <w:sz w:val="20"/>
          <w:szCs w:val="20"/>
        </w:rPr>
        <w:t xml:space="preserve">note 12, </w:t>
      </w:r>
      <w:r w:rsidRPr="00655A93">
        <w:rPr>
          <w:rFonts w:eastAsia="Times New Roman" w:cstheme="minorHAnsi"/>
          <w:sz w:val="20"/>
          <w:szCs w:val="20"/>
        </w:rPr>
        <w:t>at 182</w:t>
      </w:r>
      <w:r w:rsidR="00763B3A">
        <w:rPr>
          <w:rFonts w:eastAsia="Times New Roman" w:cstheme="minorHAnsi"/>
          <w:sz w:val="20"/>
          <w:szCs w:val="20"/>
        </w:rPr>
        <w:t>.</w:t>
      </w:r>
    </w:p>
  </w:footnote>
  <w:footnote w:id="55">
    <w:p w14:paraId="424E33A1" w14:textId="3D07B2F3" w:rsidR="005C4B6B" w:rsidRPr="0032598F" w:rsidRDefault="005C4B6B" w:rsidP="005C4B6B">
      <w:pPr>
        <w:pStyle w:val="FootnoteText"/>
        <w:rPr>
          <w:sz w:val="20"/>
          <w:szCs w:val="20"/>
        </w:rPr>
      </w:pPr>
      <w:r w:rsidRPr="0032598F">
        <w:rPr>
          <w:rStyle w:val="FootnoteReference"/>
          <w:sz w:val="20"/>
          <w:szCs w:val="20"/>
        </w:rPr>
        <w:footnoteRef/>
      </w:r>
      <w:r w:rsidRPr="0032598F">
        <w:rPr>
          <w:sz w:val="20"/>
          <w:szCs w:val="20"/>
        </w:rPr>
        <w:t xml:space="preserve"> </w:t>
      </w:r>
      <w:r w:rsidRPr="0032598F">
        <w:rPr>
          <w:rFonts w:cstheme="minorHAnsi"/>
          <w:sz w:val="20"/>
          <w:szCs w:val="20"/>
        </w:rPr>
        <w:t xml:space="preserve">Christina </w:t>
      </w:r>
      <w:proofErr w:type="spellStart"/>
      <w:r w:rsidRPr="0032598F">
        <w:rPr>
          <w:rFonts w:cstheme="minorHAnsi"/>
          <w:sz w:val="20"/>
          <w:szCs w:val="20"/>
        </w:rPr>
        <w:t>Pantazis</w:t>
      </w:r>
      <w:proofErr w:type="spellEnd"/>
      <w:r w:rsidRPr="0032598F">
        <w:rPr>
          <w:rFonts w:cstheme="minorHAnsi"/>
          <w:sz w:val="20"/>
          <w:szCs w:val="20"/>
        </w:rPr>
        <w:t xml:space="preserve"> and Simon Pemberton, </w:t>
      </w:r>
      <w:r w:rsidRPr="0032598F">
        <w:rPr>
          <w:rFonts w:cstheme="minorHAnsi"/>
          <w:i/>
          <w:iCs/>
          <w:sz w:val="20"/>
          <w:szCs w:val="20"/>
        </w:rPr>
        <w:t>From the ‘old’ to the ‘new’ suspect community: examining the impacts of recent UK counter-terrorist legislation</w:t>
      </w:r>
      <w:r w:rsidRPr="0032598F">
        <w:rPr>
          <w:rFonts w:cstheme="minorHAnsi"/>
          <w:sz w:val="20"/>
          <w:szCs w:val="20"/>
        </w:rPr>
        <w:t>, British Journal of Criminology, Vol. 49, No. 5 (2009) at 649</w:t>
      </w:r>
      <w:r w:rsidR="00763B3A">
        <w:rPr>
          <w:rFonts w:cstheme="minorHAnsi"/>
          <w:sz w:val="20"/>
          <w:szCs w:val="20"/>
        </w:rPr>
        <w:t>.</w:t>
      </w:r>
    </w:p>
  </w:footnote>
  <w:footnote w:id="56">
    <w:p w14:paraId="4D1F7CFB" w14:textId="130B8C07" w:rsidR="005C4B6B" w:rsidRPr="0032598F" w:rsidRDefault="005C4B6B" w:rsidP="005C4B6B">
      <w:pPr>
        <w:pStyle w:val="FootnoteText"/>
        <w:rPr>
          <w:sz w:val="20"/>
          <w:szCs w:val="20"/>
        </w:rPr>
      </w:pPr>
      <w:r w:rsidRPr="00E477DD">
        <w:rPr>
          <w:rStyle w:val="FootnoteReference"/>
          <w:sz w:val="20"/>
          <w:szCs w:val="20"/>
        </w:rPr>
        <w:footnoteRef/>
      </w:r>
      <w:r w:rsidRPr="00E477DD">
        <w:rPr>
          <w:sz w:val="20"/>
          <w:szCs w:val="20"/>
        </w:rPr>
        <w:t xml:space="preserve"> Paddy Hillyard, </w:t>
      </w:r>
      <w:r w:rsidRPr="00E477DD">
        <w:rPr>
          <w:i/>
          <w:iCs/>
          <w:sz w:val="20"/>
          <w:szCs w:val="20"/>
        </w:rPr>
        <w:t>Suspect Community: People’s experiences of the Prevention of Terrorism Acts in Britain</w:t>
      </w:r>
      <w:r w:rsidRPr="00E477DD">
        <w:rPr>
          <w:sz w:val="20"/>
          <w:szCs w:val="20"/>
        </w:rPr>
        <w:t xml:space="preserve"> (Pluto </w:t>
      </w:r>
      <w:r w:rsidRPr="0032598F">
        <w:rPr>
          <w:sz w:val="20"/>
          <w:szCs w:val="20"/>
        </w:rPr>
        <w:t>Press; 1993) at 257-258</w:t>
      </w:r>
      <w:r w:rsidR="00763B3A">
        <w:rPr>
          <w:sz w:val="20"/>
          <w:szCs w:val="20"/>
        </w:rPr>
        <w:t>.</w:t>
      </w:r>
    </w:p>
  </w:footnote>
  <w:footnote w:id="57">
    <w:p w14:paraId="4C0A8CB0" w14:textId="77777777" w:rsidR="005C4B6B" w:rsidRPr="004B452C" w:rsidRDefault="005C4B6B" w:rsidP="005C4B6B">
      <w:pPr>
        <w:pStyle w:val="FootnoteText"/>
        <w:rPr>
          <w:sz w:val="20"/>
          <w:szCs w:val="20"/>
        </w:rPr>
      </w:pPr>
      <w:r w:rsidRPr="004B452C">
        <w:rPr>
          <w:rStyle w:val="FootnoteReference"/>
          <w:sz w:val="20"/>
          <w:szCs w:val="20"/>
        </w:rPr>
        <w:footnoteRef/>
      </w:r>
      <w:r w:rsidRPr="004B452C">
        <w:rPr>
          <w:sz w:val="20"/>
          <w:szCs w:val="20"/>
        </w:rPr>
        <w:t xml:space="preserve"> </w:t>
      </w:r>
      <w:proofErr w:type="spellStart"/>
      <w:r w:rsidRPr="004B452C">
        <w:rPr>
          <w:rFonts w:eastAsia="Times New Roman" w:cstheme="minorHAnsi"/>
          <w:color w:val="0B0C0C"/>
          <w:sz w:val="20"/>
          <w:szCs w:val="20"/>
        </w:rPr>
        <w:t>Tazeen</w:t>
      </w:r>
      <w:proofErr w:type="spellEnd"/>
      <w:r w:rsidRPr="004B452C">
        <w:rPr>
          <w:rFonts w:eastAsia="Times New Roman" w:cstheme="minorHAnsi"/>
          <w:color w:val="0B0C0C"/>
          <w:sz w:val="20"/>
          <w:szCs w:val="20"/>
        </w:rPr>
        <w:t xml:space="preserve"> Said, </w:t>
      </w:r>
      <w:r w:rsidRPr="004B452C">
        <w:rPr>
          <w:rFonts w:eastAsia="Times New Roman" w:cstheme="minorHAnsi"/>
          <w:i/>
          <w:iCs/>
          <w:color w:val="0B0C0C"/>
          <w:sz w:val="20"/>
          <w:szCs w:val="20"/>
        </w:rPr>
        <w:t>Impact of Anti-Terrorism Powers on the British Muslim Population</w:t>
      </w:r>
      <w:r w:rsidRPr="004B452C">
        <w:rPr>
          <w:rFonts w:eastAsia="Times New Roman" w:cstheme="minorHAnsi"/>
          <w:color w:val="0B0C0C"/>
          <w:sz w:val="20"/>
          <w:szCs w:val="20"/>
        </w:rPr>
        <w:t>, Liberty (2004) at 3</w:t>
      </w:r>
    </w:p>
  </w:footnote>
  <w:footnote w:id="58">
    <w:p w14:paraId="555C70A9" w14:textId="3E8E0DD2" w:rsidR="005C4B6B" w:rsidRPr="00697371" w:rsidRDefault="005C4B6B" w:rsidP="005C4B6B">
      <w:pPr>
        <w:pStyle w:val="FootnoteText"/>
        <w:rPr>
          <w:sz w:val="20"/>
          <w:szCs w:val="20"/>
        </w:rPr>
      </w:pPr>
      <w:r w:rsidRPr="00697371">
        <w:rPr>
          <w:rStyle w:val="FootnoteReference"/>
          <w:sz w:val="20"/>
          <w:szCs w:val="20"/>
        </w:rPr>
        <w:footnoteRef/>
      </w:r>
      <w:r w:rsidRPr="00697371">
        <w:rPr>
          <w:sz w:val="20"/>
          <w:szCs w:val="20"/>
        </w:rPr>
        <w:t xml:space="preserve"> </w:t>
      </w:r>
      <w:r w:rsidR="00DC39D9">
        <w:rPr>
          <w:rFonts w:cstheme="minorHAnsi"/>
          <w:sz w:val="20"/>
          <w:szCs w:val="20"/>
        </w:rPr>
        <w:t xml:space="preserve">House of Commons Home Affairs Committee, Written Evidence: Terrorism and Community Relations, </w:t>
      </w:r>
      <w:r w:rsidR="00FE338C" w:rsidRPr="00DC39D9">
        <w:rPr>
          <w:rFonts w:cstheme="minorHAnsi"/>
          <w:i/>
          <w:iCs/>
          <w:sz w:val="20"/>
          <w:szCs w:val="20"/>
        </w:rPr>
        <w:t>Memorandum Submitted by the M</w:t>
      </w:r>
      <w:r w:rsidR="00DC39D9" w:rsidRPr="00DC39D9">
        <w:rPr>
          <w:rFonts w:cstheme="minorHAnsi"/>
          <w:i/>
          <w:iCs/>
          <w:sz w:val="20"/>
          <w:szCs w:val="20"/>
        </w:rPr>
        <w:t>us</w:t>
      </w:r>
      <w:r w:rsidR="00FE338C" w:rsidRPr="00DC39D9">
        <w:rPr>
          <w:rFonts w:cstheme="minorHAnsi"/>
          <w:i/>
          <w:iCs/>
          <w:sz w:val="20"/>
          <w:szCs w:val="20"/>
        </w:rPr>
        <w:t>lim Council of Britain</w:t>
      </w:r>
      <w:r w:rsidR="00DC39D9">
        <w:rPr>
          <w:rFonts w:cstheme="minorHAnsi"/>
          <w:sz w:val="20"/>
          <w:szCs w:val="20"/>
        </w:rPr>
        <w:t>, at</w:t>
      </w:r>
      <w:r w:rsidR="00FE338C">
        <w:rPr>
          <w:rFonts w:cstheme="minorHAnsi"/>
          <w:sz w:val="20"/>
          <w:szCs w:val="20"/>
        </w:rPr>
        <w:t xml:space="preserve"> 65-66</w:t>
      </w:r>
      <w:r w:rsidR="00DC39D9">
        <w:rPr>
          <w:rFonts w:cstheme="minorHAnsi"/>
          <w:sz w:val="20"/>
          <w:szCs w:val="20"/>
        </w:rPr>
        <w:t xml:space="preserve">, </w:t>
      </w:r>
      <w:r w:rsidR="00FE338C">
        <w:rPr>
          <w:rFonts w:cstheme="minorHAnsi"/>
          <w:sz w:val="20"/>
          <w:szCs w:val="20"/>
        </w:rPr>
        <w:t>paragraphs 6 and 14</w:t>
      </w:r>
      <w:r w:rsidR="00DC39D9">
        <w:rPr>
          <w:rFonts w:cstheme="minorHAnsi"/>
          <w:sz w:val="20"/>
          <w:szCs w:val="20"/>
        </w:rPr>
        <w:t xml:space="preserve"> (The Stationary Office; January 2005)</w:t>
      </w:r>
      <w:r w:rsidR="00763B3A">
        <w:rPr>
          <w:rFonts w:cstheme="minorHAnsi"/>
          <w:sz w:val="20"/>
          <w:szCs w:val="20"/>
        </w:rPr>
        <w:t>.</w:t>
      </w:r>
    </w:p>
  </w:footnote>
  <w:footnote w:id="59">
    <w:p w14:paraId="4BC41E2B" w14:textId="77777777" w:rsidR="005C4B6B" w:rsidRPr="005B003D" w:rsidRDefault="005C4B6B" w:rsidP="005C4B6B">
      <w:pPr>
        <w:pStyle w:val="FootnoteText"/>
        <w:rPr>
          <w:rFonts w:cstheme="minorHAnsi"/>
          <w:sz w:val="20"/>
          <w:szCs w:val="20"/>
        </w:rPr>
      </w:pPr>
      <w:r w:rsidRPr="005B003D">
        <w:rPr>
          <w:rStyle w:val="FootnoteReference"/>
          <w:rFonts w:cstheme="minorHAnsi"/>
          <w:sz w:val="20"/>
          <w:szCs w:val="20"/>
        </w:rPr>
        <w:footnoteRef/>
      </w:r>
      <w:r w:rsidRPr="005B003D">
        <w:rPr>
          <w:rFonts w:cstheme="minorHAnsi"/>
          <w:sz w:val="20"/>
          <w:szCs w:val="20"/>
        </w:rPr>
        <w:t xml:space="preserve"> 7/7 bombers </w:t>
      </w:r>
      <w:r w:rsidRPr="005B003D">
        <w:rPr>
          <w:rFonts w:cstheme="minorHAnsi"/>
          <w:color w:val="000000" w:themeColor="text1"/>
          <w:sz w:val="20"/>
          <w:szCs w:val="20"/>
        </w:rPr>
        <w:t xml:space="preserve">Mohammed </w:t>
      </w:r>
      <w:proofErr w:type="spellStart"/>
      <w:r w:rsidRPr="005B003D">
        <w:rPr>
          <w:rFonts w:cstheme="minorHAnsi"/>
          <w:color w:val="000000" w:themeColor="text1"/>
          <w:sz w:val="20"/>
          <w:szCs w:val="20"/>
        </w:rPr>
        <w:t>Sidique</w:t>
      </w:r>
      <w:proofErr w:type="spellEnd"/>
      <w:r w:rsidRPr="005B003D">
        <w:rPr>
          <w:rFonts w:cstheme="minorHAnsi"/>
          <w:color w:val="000000" w:themeColor="text1"/>
          <w:sz w:val="20"/>
          <w:szCs w:val="20"/>
        </w:rPr>
        <w:t xml:space="preserve"> Khan, Shehzad </w:t>
      </w:r>
      <w:proofErr w:type="spellStart"/>
      <w:r w:rsidRPr="005B003D">
        <w:rPr>
          <w:rFonts w:cstheme="minorHAnsi"/>
          <w:color w:val="000000" w:themeColor="text1"/>
          <w:sz w:val="20"/>
          <w:szCs w:val="20"/>
        </w:rPr>
        <w:t>Tanweer</w:t>
      </w:r>
      <w:proofErr w:type="spellEnd"/>
      <w:r w:rsidRPr="005B003D">
        <w:rPr>
          <w:rFonts w:cstheme="minorHAnsi"/>
          <w:color w:val="000000" w:themeColor="text1"/>
          <w:sz w:val="20"/>
          <w:szCs w:val="20"/>
        </w:rPr>
        <w:t xml:space="preserve"> and Hasib Hussain were all born in Yorkshire. Germain Lindsay was born in Jamacia and moved to Britain aged 5.</w:t>
      </w:r>
    </w:p>
  </w:footnote>
  <w:footnote w:id="60">
    <w:p w14:paraId="3DC6367B" w14:textId="00683DE4" w:rsidR="005C4B6B" w:rsidRPr="005B003D" w:rsidRDefault="005C4B6B" w:rsidP="005C4B6B">
      <w:pPr>
        <w:pStyle w:val="FootnoteText"/>
        <w:rPr>
          <w:rFonts w:cstheme="minorHAnsi"/>
          <w:sz w:val="20"/>
          <w:szCs w:val="20"/>
        </w:rPr>
      </w:pPr>
      <w:r w:rsidRPr="005B003D">
        <w:rPr>
          <w:rStyle w:val="FootnoteReference"/>
          <w:rFonts w:cstheme="minorHAnsi"/>
          <w:sz w:val="20"/>
          <w:szCs w:val="20"/>
        </w:rPr>
        <w:footnoteRef/>
      </w:r>
      <w:r w:rsidRPr="005B003D">
        <w:rPr>
          <w:rFonts w:cstheme="minorHAnsi"/>
          <w:sz w:val="20"/>
          <w:szCs w:val="20"/>
        </w:rPr>
        <w:t xml:space="preserve"> Arun </w:t>
      </w:r>
      <w:proofErr w:type="spellStart"/>
      <w:r w:rsidRPr="005B003D">
        <w:rPr>
          <w:rFonts w:cstheme="minorHAnsi"/>
          <w:sz w:val="20"/>
          <w:szCs w:val="20"/>
        </w:rPr>
        <w:t>Kundnani</w:t>
      </w:r>
      <w:proofErr w:type="spellEnd"/>
      <w:r w:rsidRPr="005B003D">
        <w:rPr>
          <w:rFonts w:cstheme="minorHAnsi"/>
          <w:sz w:val="20"/>
          <w:szCs w:val="20"/>
        </w:rPr>
        <w:t xml:space="preserve">, </w:t>
      </w:r>
      <w:r w:rsidR="00EE560E">
        <w:rPr>
          <w:rFonts w:cstheme="minorHAnsi"/>
          <w:i/>
          <w:iCs/>
          <w:sz w:val="20"/>
          <w:szCs w:val="20"/>
        </w:rPr>
        <w:t xml:space="preserve">supra </w:t>
      </w:r>
      <w:r w:rsidR="00EE560E" w:rsidRPr="00EE560E">
        <w:rPr>
          <w:rFonts w:cstheme="minorHAnsi"/>
          <w:sz w:val="20"/>
          <w:szCs w:val="20"/>
        </w:rPr>
        <w:t>note 32,</w:t>
      </w:r>
      <w:r w:rsidR="00EE560E">
        <w:rPr>
          <w:rFonts w:cstheme="minorHAnsi"/>
          <w:i/>
          <w:iCs/>
          <w:sz w:val="20"/>
          <w:szCs w:val="20"/>
        </w:rPr>
        <w:t xml:space="preserve"> </w:t>
      </w:r>
      <w:r w:rsidRPr="005B003D">
        <w:rPr>
          <w:rFonts w:cstheme="minorHAnsi"/>
          <w:sz w:val="20"/>
          <w:szCs w:val="20"/>
        </w:rPr>
        <w:t>at 10</w:t>
      </w:r>
      <w:r w:rsidR="00763B3A">
        <w:rPr>
          <w:rFonts w:cstheme="minorHAnsi"/>
          <w:sz w:val="20"/>
          <w:szCs w:val="20"/>
        </w:rPr>
        <w:t>.</w:t>
      </w:r>
    </w:p>
  </w:footnote>
  <w:footnote w:id="61">
    <w:p w14:paraId="7824E4DF" w14:textId="46A6A7DD" w:rsidR="005C4B6B" w:rsidRPr="003C1757" w:rsidRDefault="005C4B6B" w:rsidP="005C4B6B">
      <w:pPr>
        <w:pStyle w:val="FootnoteText"/>
        <w:rPr>
          <w:rFonts w:cstheme="minorHAnsi"/>
          <w:sz w:val="20"/>
          <w:szCs w:val="20"/>
        </w:rPr>
      </w:pPr>
      <w:r w:rsidRPr="005B003D">
        <w:rPr>
          <w:rStyle w:val="FootnoteReference"/>
          <w:rFonts w:cstheme="minorHAnsi"/>
          <w:sz w:val="20"/>
          <w:szCs w:val="20"/>
        </w:rPr>
        <w:footnoteRef/>
      </w:r>
      <w:r w:rsidRPr="005B003D">
        <w:rPr>
          <w:rFonts w:cstheme="minorHAnsi"/>
          <w:sz w:val="20"/>
          <w:szCs w:val="20"/>
        </w:rPr>
        <w:t xml:space="preserve"> Arun </w:t>
      </w:r>
      <w:proofErr w:type="spellStart"/>
      <w:r w:rsidRPr="005B003D">
        <w:rPr>
          <w:rFonts w:cstheme="minorHAnsi"/>
          <w:sz w:val="20"/>
          <w:szCs w:val="20"/>
        </w:rPr>
        <w:t>Kundnani</w:t>
      </w:r>
      <w:proofErr w:type="spellEnd"/>
      <w:r w:rsidRPr="003C1757">
        <w:rPr>
          <w:rFonts w:cstheme="minorHAnsi"/>
          <w:sz w:val="20"/>
          <w:szCs w:val="20"/>
        </w:rPr>
        <w:t xml:space="preserve">, </w:t>
      </w:r>
      <w:r w:rsidR="00EE560E">
        <w:rPr>
          <w:rFonts w:cstheme="minorHAnsi"/>
          <w:i/>
          <w:iCs/>
          <w:sz w:val="20"/>
          <w:szCs w:val="20"/>
        </w:rPr>
        <w:t xml:space="preserve">supra </w:t>
      </w:r>
      <w:r w:rsidR="00EE560E" w:rsidRPr="00EE560E">
        <w:rPr>
          <w:rFonts w:cstheme="minorHAnsi"/>
          <w:sz w:val="20"/>
          <w:szCs w:val="20"/>
        </w:rPr>
        <w:t>note 32,</w:t>
      </w:r>
      <w:r w:rsidR="00EE560E">
        <w:rPr>
          <w:rFonts w:cstheme="minorHAnsi"/>
          <w:i/>
          <w:iCs/>
          <w:sz w:val="20"/>
          <w:szCs w:val="20"/>
        </w:rPr>
        <w:t xml:space="preserve"> </w:t>
      </w:r>
      <w:r w:rsidRPr="003C1757">
        <w:rPr>
          <w:rFonts w:cstheme="minorHAnsi"/>
          <w:sz w:val="20"/>
          <w:szCs w:val="20"/>
        </w:rPr>
        <w:t>at 10</w:t>
      </w:r>
      <w:r w:rsidR="00763B3A">
        <w:rPr>
          <w:rFonts w:cstheme="minorHAnsi"/>
          <w:sz w:val="20"/>
          <w:szCs w:val="20"/>
        </w:rPr>
        <w:t>.</w:t>
      </w:r>
    </w:p>
  </w:footnote>
  <w:footnote w:id="62">
    <w:p w14:paraId="3A6D3733" w14:textId="7BA60CAF" w:rsidR="005C4B6B" w:rsidRPr="003C1757" w:rsidRDefault="005C4B6B" w:rsidP="005C4B6B">
      <w:pPr>
        <w:pStyle w:val="FootnoteText"/>
        <w:rPr>
          <w:rFonts w:cstheme="minorHAnsi"/>
          <w:sz w:val="20"/>
          <w:szCs w:val="20"/>
        </w:rPr>
      </w:pPr>
      <w:r w:rsidRPr="003C1757">
        <w:rPr>
          <w:rStyle w:val="FootnoteReference"/>
          <w:rFonts w:cstheme="minorHAnsi"/>
          <w:sz w:val="20"/>
          <w:szCs w:val="20"/>
        </w:rPr>
        <w:footnoteRef/>
      </w:r>
      <w:r w:rsidRPr="003C1757">
        <w:rPr>
          <w:rFonts w:cstheme="minorHAnsi"/>
          <w:sz w:val="20"/>
          <w:szCs w:val="20"/>
        </w:rPr>
        <w:t xml:space="preserve"> </w:t>
      </w:r>
      <w:r w:rsidRPr="000B1613">
        <w:rPr>
          <w:rFonts w:cstheme="minorHAnsi"/>
          <w:i/>
          <w:iCs/>
          <w:sz w:val="20"/>
          <w:szCs w:val="20"/>
        </w:rPr>
        <w:t>Preventing Violent Extremism Pathfinder Fund: Guidance note for government offices and local authorities in England</w:t>
      </w:r>
      <w:r w:rsidRPr="003C1757">
        <w:rPr>
          <w:rFonts w:cstheme="minorHAnsi"/>
          <w:sz w:val="20"/>
          <w:szCs w:val="20"/>
        </w:rPr>
        <w:t xml:space="preserve"> (Department for Communities and Local Government; February 2007) at 5</w:t>
      </w:r>
      <w:r w:rsidR="00763B3A">
        <w:rPr>
          <w:rFonts w:cstheme="minorHAnsi"/>
          <w:sz w:val="20"/>
          <w:szCs w:val="20"/>
        </w:rPr>
        <w:t>.</w:t>
      </w:r>
    </w:p>
  </w:footnote>
  <w:footnote w:id="63">
    <w:p w14:paraId="7AB37C54" w14:textId="7F89C789" w:rsidR="003C1757" w:rsidRPr="003C1757" w:rsidRDefault="003C1757">
      <w:pPr>
        <w:pStyle w:val="FootnoteText"/>
        <w:rPr>
          <w:sz w:val="20"/>
          <w:szCs w:val="20"/>
        </w:rPr>
      </w:pPr>
      <w:r w:rsidRPr="003C1757">
        <w:rPr>
          <w:rStyle w:val="FootnoteReference"/>
          <w:sz w:val="20"/>
          <w:szCs w:val="20"/>
        </w:rPr>
        <w:footnoteRef/>
      </w:r>
      <w:r w:rsidRPr="003C1757">
        <w:rPr>
          <w:sz w:val="20"/>
          <w:szCs w:val="20"/>
        </w:rPr>
        <w:t xml:space="preserve"> Catherine McGlynn and Shaun McDaid, </w:t>
      </w:r>
      <w:r w:rsidR="00EE560E" w:rsidRPr="00CB6804">
        <w:rPr>
          <w:rFonts w:cstheme="minorHAnsi"/>
          <w:i/>
          <w:iCs/>
          <w:sz w:val="20"/>
          <w:szCs w:val="20"/>
        </w:rPr>
        <w:t xml:space="preserve">supra </w:t>
      </w:r>
      <w:r w:rsidR="00EE560E" w:rsidRPr="00CB6804">
        <w:rPr>
          <w:rFonts w:cstheme="minorHAnsi"/>
          <w:sz w:val="20"/>
          <w:szCs w:val="20"/>
        </w:rPr>
        <w:t>note 4</w:t>
      </w:r>
      <w:r w:rsidR="00EE560E">
        <w:rPr>
          <w:rFonts w:cstheme="minorHAnsi"/>
          <w:sz w:val="20"/>
          <w:szCs w:val="20"/>
        </w:rPr>
        <w:t>,</w:t>
      </w:r>
      <w:r w:rsidRPr="003C1757">
        <w:rPr>
          <w:sz w:val="20"/>
          <w:szCs w:val="20"/>
        </w:rPr>
        <w:t xml:space="preserve"> at </w:t>
      </w:r>
      <w:r w:rsidR="00506723">
        <w:rPr>
          <w:sz w:val="20"/>
          <w:szCs w:val="20"/>
        </w:rPr>
        <w:t>25,</w:t>
      </w:r>
      <w:r w:rsidR="00CF6B8F">
        <w:rPr>
          <w:sz w:val="20"/>
          <w:szCs w:val="20"/>
        </w:rPr>
        <w:t xml:space="preserve"> and Audrey </w:t>
      </w:r>
      <w:proofErr w:type="spellStart"/>
      <w:r w:rsidR="00CF6B8F">
        <w:rPr>
          <w:sz w:val="20"/>
          <w:szCs w:val="20"/>
        </w:rPr>
        <w:t>Olser</w:t>
      </w:r>
      <w:proofErr w:type="spellEnd"/>
      <w:r w:rsidR="00CF6B8F">
        <w:rPr>
          <w:sz w:val="20"/>
          <w:szCs w:val="20"/>
        </w:rPr>
        <w:t xml:space="preserve">, </w:t>
      </w:r>
      <w:r w:rsidR="00CF6B8F" w:rsidRPr="00CF6B8F">
        <w:rPr>
          <w:i/>
          <w:iCs/>
          <w:sz w:val="20"/>
          <w:szCs w:val="20"/>
        </w:rPr>
        <w:t xml:space="preserve">Citizenship education and the </w:t>
      </w:r>
      <w:proofErr w:type="spellStart"/>
      <w:r w:rsidR="00CF6B8F" w:rsidRPr="00CF6B8F">
        <w:rPr>
          <w:i/>
          <w:iCs/>
          <w:sz w:val="20"/>
          <w:szCs w:val="20"/>
        </w:rPr>
        <w:t>Ajegbo</w:t>
      </w:r>
      <w:proofErr w:type="spellEnd"/>
      <w:r w:rsidR="00CF6B8F" w:rsidRPr="00CF6B8F">
        <w:rPr>
          <w:i/>
          <w:iCs/>
          <w:sz w:val="20"/>
          <w:szCs w:val="20"/>
        </w:rPr>
        <w:t xml:space="preserve"> report: re-imaging a cosmopolitan nation</w:t>
      </w:r>
      <w:r w:rsidR="00CF6B8F">
        <w:rPr>
          <w:sz w:val="20"/>
          <w:szCs w:val="20"/>
        </w:rPr>
        <w:t>, London Review of Education, Vol. 6, No. 1 (March 2008) at 11</w:t>
      </w:r>
      <w:r w:rsidR="00763B3A">
        <w:rPr>
          <w:sz w:val="20"/>
          <w:szCs w:val="20"/>
        </w:rPr>
        <w:t>.</w:t>
      </w:r>
    </w:p>
  </w:footnote>
  <w:footnote w:id="64">
    <w:p w14:paraId="16B47591" w14:textId="6A14A4A5" w:rsidR="00827149" w:rsidRPr="003C1757" w:rsidRDefault="00827149" w:rsidP="00827149">
      <w:pPr>
        <w:pStyle w:val="FootnoteText"/>
        <w:rPr>
          <w:rFonts w:cstheme="minorHAnsi"/>
          <w:sz w:val="20"/>
          <w:szCs w:val="20"/>
        </w:rPr>
      </w:pPr>
      <w:r w:rsidRPr="003C1757">
        <w:rPr>
          <w:rStyle w:val="FootnoteReference"/>
          <w:rFonts w:cstheme="minorHAnsi"/>
          <w:sz w:val="20"/>
          <w:szCs w:val="20"/>
        </w:rPr>
        <w:footnoteRef/>
      </w:r>
      <w:r w:rsidRPr="003C1757">
        <w:rPr>
          <w:rFonts w:cstheme="minorHAnsi"/>
          <w:sz w:val="20"/>
          <w:szCs w:val="20"/>
        </w:rPr>
        <w:t xml:space="preserve"> Arun </w:t>
      </w:r>
      <w:proofErr w:type="spellStart"/>
      <w:r w:rsidRPr="003C1757">
        <w:rPr>
          <w:rFonts w:cstheme="minorHAnsi"/>
          <w:sz w:val="20"/>
          <w:szCs w:val="20"/>
        </w:rPr>
        <w:t>Kundnani</w:t>
      </w:r>
      <w:proofErr w:type="spellEnd"/>
      <w:r w:rsidRPr="003C1757">
        <w:rPr>
          <w:rFonts w:cstheme="minorHAnsi"/>
          <w:sz w:val="20"/>
          <w:szCs w:val="20"/>
        </w:rPr>
        <w:t xml:space="preserve">, </w:t>
      </w:r>
      <w:r w:rsidR="00EE560E">
        <w:rPr>
          <w:rFonts w:cstheme="minorHAnsi"/>
          <w:i/>
          <w:iCs/>
          <w:sz w:val="20"/>
          <w:szCs w:val="20"/>
        </w:rPr>
        <w:t xml:space="preserve">supra </w:t>
      </w:r>
      <w:r w:rsidR="00EE560E" w:rsidRPr="00EE560E">
        <w:rPr>
          <w:rFonts w:cstheme="minorHAnsi"/>
          <w:sz w:val="20"/>
          <w:szCs w:val="20"/>
        </w:rPr>
        <w:t>note 32,</w:t>
      </w:r>
      <w:r w:rsidR="00EE560E">
        <w:rPr>
          <w:rFonts w:cstheme="minorHAnsi"/>
          <w:i/>
          <w:iCs/>
          <w:sz w:val="20"/>
          <w:szCs w:val="20"/>
        </w:rPr>
        <w:t xml:space="preserve"> </w:t>
      </w:r>
      <w:r w:rsidRPr="003C1757">
        <w:rPr>
          <w:rFonts w:cstheme="minorHAnsi"/>
          <w:sz w:val="20"/>
          <w:szCs w:val="20"/>
        </w:rPr>
        <w:t>at 23</w:t>
      </w:r>
      <w:r w:rsidR="00763B3A">
        <w:rPr>
          <w:rFonts w:cstheme="minorHAnsi"/>
          <w:sz w:val="20"/>
          <w:szCs w:val="20"/>
        </w:rPr>
        <w:t>.</w:t>
      </w:r>
    </w:p>
  </w:footnote>
  <w:footnote w:id="65">
    <w:p w14:paraId="2A1F6C2D" w14:textId="3CE374E5" w:rsidR="009B55B2" w:rsidRPr="00D14C6B" w:rsidRDefault="009B55B2" w:rsidP="009B55B2">
      <w:pPr>
        <w:pStyle w:val="FootnoteText"/>
        <w:rPr>
          <w:sz w:val="20"/>
          <w:szCs w:val="20"/>
        </w:rPr>
      </w:pPr>
      <w:r w:rsidRPr="00D14C6B">
        <w:rPr>
          <w:rStyle w:val="FootnoteReference"/>
          <w:sz w:val="20"/>
          <w:szCs w:val="20"/>
        </w:rPr>
        <w:footnoteRef/>
      </w:r>
      <w:r w:rsidRPr="00D14C6B">
        <w:rPr>
          <w:sz w:val="20"/>
          <w:szCs w:val="20"/>
        </w:rPr>
        <w:t xml:space="preserve"> Marie Gillespie, </w:t>
      </w:r>
      <w:r w:rsidRPr="00D14C6B">
        <w:rPr>
          <w:i/>
          <w:iCs/>
          <w:sz w:val="20"/>
          <w:szCs w:val="20"/>
        </w:rPr>
        <w:t>Security, Media and Multicultural Citizenship: A Collaborative Ethnography</w:t>
      </w:r>
      <w:r w:rsidRPr="00D14C6B">
        <w:rPr>
          <w:sz w:val="20"/>
          <w:szCs w:val="20"/>
        </w:rPr>
        <w:t>, European Journal of Cultural Studies, Vol. 10, No. 3 (2007) at 284</w:t>
      </w:r>
      <w:r w:rsidR="00763B3A">
        <w:rPr>
          <w:sz w:val="20"/>
          <w:szCs w:val="20"/>
        </w:rPr>
        <w:t>.</w:t>
      </w:r>
    </w:p>
  </w:footnote>
  <w:footnote w:id="66">
    <w:p w14:paraId="1285D4B7" w14:textId="6AB50090" w:rsidR="009B55B2" w:rsidRPr="00453D4F" w:rsidRDefault="009B55B2" w:rsidP="009B55B2">
      <w:pPr>
        <w:pStyle w:val="FootnoteText"/>
        <w:rPr>
          <w:rFonts w:cstheme="minorHAnsi"/>
          <w:sz w:val="20"/>
          <w:szCs w:val="20"/>
        </w:rPr>
      </w:pPr>
      <w:r w:rsidRPr="00453D4F">
        <w:rPr>
          <w:rStyle w:val="FootnoteReference"/>
          <w:rFonts w:cstheme="minorHAnsi"/>
          <w:sz w:val="20"/>
          <w:szCs w:val="20"/>
        </w:rPr>
        <w:footnoteRef/>
      </w:r>
      <w:r w:rsidRPr="00453D4F">
        <w:rPr>
          <w:rFonts w:cstheme="minorHAnsi"/>
          <w:sz w:val="20"/>
          <w:szCs w:val="20"/>
        </w:rPr>
        <w:t xml:space="preserve"> </w:t>
      </w:r>
      <w:r w:rsidRPr="00453D4F">
        <w:rPr>
          <w:rFonts w:eastAsia="Times New Roman" w:cstheme="minorHAnsi"/>
          <w:color w:val="0B0C0C"/>
          <w:sz w:val="20"/>
          <w:szCs w:val="20"/>
        </w:rPr>
        <w:t xml:space="preserve">Lee Jarvis and Michael Lister, </w:t>
      </w:r>
      <w:r w:rsidRPr="00453D4F">
        <w:rPr>
          <w:rFonts w:eastAsia="Times New Roman" w:cstheme="minorHAnsi"/>
          <w:i/>
          <w:iCs/>
          <w:color w:val="0B0C0C"/>
          <w:sz w:val="20"/>
          <w:szCs w:val="20"/>
        </w:rPr>
        <w:t>Disconnected Citizenship? The Impacts of Anti-terrorism Policy on Citizenship in the UK</w:t>
      </w:r>
      <w:r w:rsidRPr="00453D4F">
        <w:rPr>
          <w:rFonts w:eastAsia="Times New Roman" w:cstheme="minorHAnsi"/>
          <w:color w:val="0B0C0C"/>
          <w:sz w:val="20"/>
          <w:szCs w:val="20"/>
        </w:rPr>
        <w:t>, Political Studies, Vol. 61 (2012) at 670</w:t>
      </w:r>
      <w:r w:rsidR="00657E32" w:rsidRPr="00453D4F">
        <w:rPr>
          <w:rFonts w:eastAsia="Times New Roman" w:cstheme="minorHAnsi"/>
          <w:color w:val="0B0C0C"/>
          <w:sz w:val="20"/>
          <w:szCs w:val="20"/>
        </w:rPr>
        <w:t xml:space="preserve"> and 673</w:t>
      </w:r>
      <w:r w:rsidR="00763B3A">
        <w:rPr>
          <w:rFonts w:eastAsia="Times New Roman" w:cstheme="minorHAnsi"/>
          <w:color w:val="0B0C0C"/>
          <w:sz w:val="20"/>
          <w:szCs w:val="20"/>
        </w:rPr>
        <w:t>.</w:t>
      </w:r>
    </w:p>
  </w:footnote>
  <w:footnote w:id="67">
    <w:p w14:paraId="333E2635" w14:textId="1E1E7745" w:rsidR="009B55B2" w:rsidRPr="00453D4F" w:rsidRDefault="009B55B2" w:rsidP="009B55B2">
      <w:pPr>
        <w:pStyle w:val="FootnoteText"/>
        <w:rPr>
          <w:rFonts w:cstheme="minorHAnsi"/>
          <w:sz w:val="20"/>
          <w:szCs w:val="20"/>
        </w:rPr>
      </w:pPr>
      <w:r w:rsidRPr="00453D4F">
        <w:rPr>
          <w:rStyle w:val="FootnoteReference"/>
          <w:rFonts w:cstheme="minorHAnsi"/>
          <w:sz w:val="20"/>
          <w:szCs w:val="20"/>
        </w:rPr>
        <w:footnoteRef/>
      </w:r>
      <w:r w:rsidRPr="00453D4F">
        <w:rPr>
          <w:rFonts w:cstheme="minorHAnsi"/>
          <w:sz w:val="20"/>
          <w:szCs w:val="20"/>
        </w:rPr>
        <w:t xml:space="preserve"> HM Government, </w:t>
      </w:r>
      <w:r w:rsidRPr="00BA0D24">
        <w:rPr>
          <w:rFonts w:cstheme="minorHAnsi"/>
          <w:i/>
          <w:iCs/>
          <w:sz w:val="20"/>
          <w:szCs w:val="20"/>
        </w:rPr>
        <w:t>Prevent Strategy</w:t>
      </w:r>
      <w:r w:rsidRPr="00453D4F">
        <w:rPr>
          <w:rFonts w:cstheme="minorHAnsi"/>
          <w:sz w:val="20"/>
          <w:szCs w:val="20"/>
        </w:rPr>
        <w:t xml:space="preserve"> (June 2011) at 16</w:t>
      </w:r>
      <w:r w:rsidR="00763B3A">
        <w:rPr>
          <w:rFonts w:cstheme="minorHAnsi"/>
          <w:sz w:val="20"/>
          <w:szCs w:val="20"/>
        </w:rPr>
        <w:t>.</w:t>
      </w:r>
    </w:p>
  </w:footnote>
  <w:footnote w:id="68">
    <w:p w14:paraId="02E187C3" w14:textId="718B33C3" w:rsidR="005C4B6B" w:rsidRPr="00453D4F" w:rsidRDefault="005C4B6B" w:rsidP="005C4B6B">
      <w:pPr>
        <w:pStyle w:val="FootnoteText"/>
        <w:rPr>
          <w:rFonts w:cstheme="minorHAnsi"/>
          <w:sz w:val="20"/>
          <w:szCs w:val="20"/>
        </w:rPr>
      </w:pPr>
      <w:r w:rsidRPr="00453D4F">
        <w:rPr>
          <w:rStyle w:val="FootnoteReference"/>
          <w:rFonts w:cstheme="minorHAnsi"/>
          <w:sz w:val="20"/>
          <w:szCs w:val="20"/>
        </w:rPr>
        <w:footnoteRef/>
      </w:r>
      <w:r w:rsidRPr="00453D4F">
        <w:rPr>
          <w:rFonts w:cstheme="minorHAnsi"/>
          <w:sz w:val="20"/>
          <w:szCs w:val="20"/>
        </w:rPr>
        <w:t xml:space="preserve"> Christina </w:t>
      </w:r>
      <w:proofErr w:type="spellStart"/>
      <w:r w:rsidRPr="00453D4F">
        <w:rPr>
          <w:rFonts w:cstheme="minorHAnsi"/>
          <w:sz w:val="20"/>
          <w:szCs w:val="20"/>
        </w:rPr>
        <w:t>Pantazis</w:t>
      </w:r>
      <w:proofErr w:type="spellEnd"/>
      <w:r w:rsidRPr="00453D4F">
        <w:rPr>
          <w:rFonts w:cstheme="minorHAnsi"/>
          <w:sz w:val="20"/>
          <w:szCs w:val="20"/>
        </w:rPr>
        <w:t xml:space="preserve"> and Simon Pemberton, </w:t>
      </w:r>
      <w:r w:rsidR="00D76F7A">
        <w:rPr>
          <w:rFonts w:cstheme="minorHAnsi"/>
          <w:i/>
          <w:iCs/>
          <w:sz w:val="20"/>
          <w:szCs w:val="20"/>
        </w:rPr>
        <w:t xml:space="preserve">supra </w:t>
      </w:r>
      <w:r w:rsidR="00D76F7A" w:rsidRPr="00D76F7A">
        <w:rPr>
          <w:rFonts w:cstheme="minorHAnsi"/>
          <w:sz w:val="20"/>
          <w:szCs w:val="20"/>
        </w:rPr>
        <w:t>note 55,</w:t>
      </w:r>
      <w:r w:rsidRPr="00453D4F">
        <w:rPr>
          <w:rFonts w:cstheme="minorHAnsi"/>
          <w:sz w:val="20"/>
          <w:szCs w:val="20"/>
        </w:rPr>
        <w:t xml:space="preserve"> at 661</w:t>
      </w:r>
      <w:r w:rsidR="00763B3A">
        <w:rPr>
          <w:rFonts w:cstheme="minorHAnsi"/>
          <w:sz w:val="20"/>
          <w:szCs w:val="20"/>
        </w:rPr>
        <w:t>.</w:t>
      </w:r>
    </w:p>
  </w:footnote>
  <w:footnote w:id="69">
    <w:p w14:paraId="184CAD46" w14:textId="77777777" w:rsidR="00CE052C" w:rsidRPr="00453D4F" w:rsidRDefault="00CE052C" w:rsidP="00CE052C">
      <w:pPr>
        <w:pStyle w:val="BodyText"/>
        <w:kinsoku w:val="0"/>
        <w:overflowPunct w:val="0"/>
        <w:spacing w:before="17"/>
        <w:jc w:val="both"/>
        <w:rPr>
          <w:rFonts w:asciiTheme="minorHAnsi" w:hAnsiTheme="minorHAnsi" w:cstheme="minorHAnsi"/>
          <w:color w:val="231F20"/>
          <w:sz w:val="20"/>
          <w:szCs w:val="20"/>
        </w:rPr>
      </w:pPr>
      <w:r w:rsidRPr="00453D4F">
        <w:rPr>
          <w:rStyle w:val="FootnoteReference"/>
          <w:rFonts w:asciiTheme="minorHAnsi" w:hAnsiTheme="minorHAnsi" w:cstheme="minorHAnsi"/>
          <w:sz w:val="20"/>
          <w:szCs w:val="20"/>
        </w:rPr>
        <w:footnoteRef/>
      </w:r>
      <w:r w:rsidRPr="00453D4F">
        <w:rPr>
          <w:rFonts w:asciiTheme="minorHAnsi" w:hAnsiTheme="minorHAnsi" w:cstheme="minorHAnsi"/>
          <w:sz w:val="20"/>
          <w:szCs w:val="20"/>
        </w:rPr>
        <w:t xml:space="preserve"> </w:t>
      </w:r>
      <w:r w:rsidRPr="00453D4F">
        <w:rPr>
          <w:rFonts w:asciiTheme="minorHAnsi" w:hAnsiTheme="minorHAnsi" w:cstheme="minorHAnsi"/>
          <w:color w:val="231F20"/>
          <w:sz w:val="20"/>
          <w:szCs w:val="20"/>
        </w:rPr>
        <w:t xml:space="preserve">Karma Nabulsi, </w:t>
      </w:r>
      <w:r w:rsidRPr="00453D4F">
        <w:rPr>
          <w:rFonts w:asciiTheme="minorHAnsi" w:hAnsiTheme="minorHAnsi" w:cstheme="minorHAnsi"/>
          <w:i/>
          <w:iCs/>
          <w:color w:val="231F20"/>
          <w:sz w:val="20"/>
          <w:szCs w:val="20"/>
        </w:rPr>
        <w:t>Don’t Go to the Doctor</w:t>
      </w:r>
      <w:r w:rsidRPr="00453D4F">
        <w:rPr>
          <w:rFonts w:asciiTheme="minorHAnsi" w:hAnsiTheme="minorHAnsi" w:cstheme="minorHAnsi"/>
          <w:color w:val="231F20"/>
          <w:sz w:val="20"/>
          <w:szCs w:val="20"/>
        </w:rPr>
        <w:t>, London Review of Books, Vol. 39, No. 10 (18 May 2017).</w:t>
      </w:r>
    </w:p>
  </w:footnote>
  <w:footnote w:id="70">
    <w:p w14:paraId="2121E9FB" w14:textId="7E6917E5" w:rsidR="005C4B6B" w:rsidRPr="0028783A" w:rsidRDefault="005C4B6B" w:rsidP="005C4B6B">
      <w:pPr>
        <w:pStyle w:val="FootnoteText"/>
        <w:rPr>
          <w:sz w:val="20"/>
          <w:szCs w:val="20"/>
        </w:rPr>
      </w:pPr>
      <w:r w:rsidRPr="00453D4F">
        <w:rPr>
          <w:rStyle w:val="FootnoteReference"/>
          <w:rFonts w:cstheme="minorHAnsi"/>
          <w:sz w:val="20"/>
          <w:szCs w:val="20"/>
        </w:rPr>
        <w:footnoteRef/>
      </w:r>
      <w:r w:rsidRPr="00453D4F">
        <w:rPr>
          <w:rFonts w:cstheme="minorHAnsi"/>
          <w:sz w:val="20"/>
          <w:szCs w:val="20"/>
        </w:rPr>
        <w:t xml:space="preserve"> Diane Taylor, </w:t>
      </w:r>
      <w:r w:rsidRPr="00453D4F">
        <w:rPr>
          <w:rFonts w:cstheme="minorHAnsi"/>
          <w:i/>
          <w:iCs/>
          <w:sz w:val="20"/>
          <w:szCs w:val="20"/>
        </w:rPr>
        <w:t>Boy, 11, referred to Prevent for wanting to give ‘alms to the oppressed’</w:t>
      </w:r>
      <w:r w:rsidRPr="00453D4F">
        <w:rPr>
          <w:rFonts w:cstheme="minorHAnsi"/>
          <w:sz w:val="20"/>
          <w:szCs w:val="20"/>
        </w:rPr>
        <w:t xml:space="preserve">, The Guardian, 27 June 2021 at </w:t>
      </w:r>
      <w:hyperlink r:id="rId14" w:history="1">
        <w:r w:rsidRPr="00453D4F">
          <w:rPr>
            <w:rStyle w:val="Hyperlink"/>
            <w:rFonts w:cstheme="minorHAnsi"/>
            <w:sz w:val="20"/>
            <w:szCs w:val="20"/>
          </w:rPr>
          <w:t>https://www.theguardian.com/uk-news/2021/jun/27/boy-11-referred-to-prevent-for-wanting-to-give-alms-to-the-oppressed</w:t>
        </w:r>
      </w:hyperlink>
      <w:r w:rsidR="00763B3A" w:rsidRPr="00763B3A">
        <w:rPr>
          <w:rStyle w:val="Hyperlink"/>
          <w:rFonts w:cstheme="minorHAnsi"/>
          <w:color w:val="000000" w:themeColor="text1"/>
          <w:sz w:val="20"/>
          <w:szCs w:val="20"/>
          <w:u w:val="none"/>
        </w:rPr>
        <w:t>.</w:t>
      </w:r>
    </w:p>
  </w:footnote>
  <w:footnote w:id="71">
    <w:p w14:paraId="1AD2AFC4" w14:textId="20C6B5D6" w:rsidR="001E19FB" w:rsidRPr="001E19FB" w:rsidRDefault="001E19FB" w:rsidP="001E19FB">
      <w:pPr>
        <w:pStyle w:val="NoSpacing"/>
        <w:jc w:val="both"/>
        <w:rPr>
          <w:rFonts w:asciiTheme="minorHAnsi" w:hAnsiTheme="minorHAnsi" w:cstheme="minorHAnsi"/>
          <w:sz w:val="20"/>
          <w:szCs w:val="20"/>
        </w:rPr>
      </w:pPr>
      <w:r w:rsidRPr="001E19FB">
        <w:rPr>
          <w:rStyle w:val="FootnoteReference"/>
          <w:rFonts w:asciiTheme="minorHAnsi" w:hAnsiTheme="minorHAnsi" w:cstheme="minorHAnsi"/>
          <w:sz w:val="20"/>
          <w:szCs w:val="20"/>
        </w:rPr>
        <w:footnoteRef/>
      </w:r>
      <w:r w:rsidRPr="001E19FB">
        <w:rPr>
          <w:rFonts w:asciiTheme="minorHAnsi" w:hAnsiTheme="minorHAnsi" w:cstheme="minorHAnsi"/>
          <w:sz w:val="20"/>
          <w:szCs w:val="20"/>
        </w:rPr>
        <w:t xml:space="preserve"> United Nations General Assembly, </w:t>
      </w:r>
      <w:r w:rsidRPr="00D76F7A">
        <w:rPr>
          <w:rFonts w:asciiTheme="minorHAnsi" w:hAnsiTheme="minorHAnsi" w:cstheme="minorHAnsi"/>
          <w:i/>
          <w:iCs/>
          <w:sz w:val="20"/>
          <w:szCs w:val="20"/>
        </w:rPr>
        <w:t>Resolution adopted by the Human Rights Council on Human rights and preventing and countering violent extremism</w:t>
      </w:r>
      <w:r w:rsidRPr="001E19FB">
        <w:rPr>
          <w:rFonts w:asciiTheme="minorHAnsi" w:hAnsiTheme="minorHAnsi" w:cstheme="minorHAnsi"/>
          <w:sz w:val="20"/>
          <w:szCs w:val="20"/>
        </w:rPr>
        <w:t>, A/HRC/RES/30/15, 12 October 2015</w:t>
      </w:r>
      <w:r w:rsidR="00763B3A">
        <w:rPr>
          <w:rFonts w:asciiTheme="minorHAnsi" w:hAnsiTheme="minorHAnsi" w:cstheme="minorHAnsi"/>
          <w:sz w:val="20"/>
          <w:szCs w:val="20"/>
        </w:rPr>
        <w:t>.</w:t>
      </w:r>
      <w:r w:rsidRPr="001E19FB">
        <w:rPr>
          <w:rFonts w:asciiTheme="minorHAnsi" w:hAnsiTheme="minorHAnsi" w:cstheme="minorHAnsi"/>
          <w:sz w:val="20"/>
          <w:szCs w:val="20"/>
        </w:rPr>
        <w:t xml:space="preserve"> </w:t>
      </w:r>
    </w:p>
  </w:footnote>
  <w:footnote w:id="72">
    <w:p w14:paraId="78495F5D" w14:textId="023AA026" w:rsidR="009368A4" w:rsidRPr="009368A4" w:rsidRDefault="009368A4" w:rsidP="009368A4">
      <w:pPr>
        <w:rPr>
          <w:rFonts w:asciiTheme="minorHAnsi" w:hAnsiTheme="minorHAnsi" w:cstheme="minorHAnsi"/>
          <w:sz w:val="20"/>
          <w:szCs w:val="20"/>
        </w:rPr>
      </w:pPr>
      <w:r w:rsidRPr="009368A4">
        <w:rPr>
          <w:rStyle w:val="FootnoteReference"/>
          <w:rFonts w:asciiTheme="minorHAnsi" w:hAnsiTheme="minorHAnsi" w:cstheme="minorHAnsi"/>
          <w:sz w:val="20"/>
          <w:szCs w:val="20"/>
        </w:rPr>
        <w:footnoteRef/>
      </w:r>
      <w:r w:rsidRPr="009368A4">
        <w:rPr>
          <w:rFonts w:asciiTheme="minorHAnsi" w:hAnsiTheme="minorHAnsi" w:cstheme="minorHAnsi"/>
          <w:sz w:val="20"/>
          <w:szCs w:val="20"/>
        </w:rPr>
        <w:t xml:space="preserve"> Human Rights Council, Report of the Special Rapporteur on the promotion and protection of human rights and fundamental freedoms while countering terrorism, </w:t>
      </w:r>
      <w:proofErr w:type="spellStart"/>
      <w:r w:rsidRPr="009368A4">
        <w:rPr>
          <w:rFonts w:asciiTheme="minorHAnsi" w:hAnsiTheme="minorHAnsi" w:cstheme="minorHAnsi"/>
          <w:sz w:val="20"/>
          <w:szCs w:val="20"/>
        </w:rPr>
        <w:t>Fionnuala</w:t>
      </w:r>
      <w:proofErr w:type="spellEnd"/>
      <w:r w:rsidRPr="009368A4">
        <w:rPr>
          <w:rFonts w:asciiTheme="minorHAnsi" w:hAnsiTheme="minorHAnsi" w:cstheme="minorHAnsi"/>
          <w:sz w:val="20"/>
          <w:szCs w:val="20"/>
        </w:rPr>
        <w:t xml:space="preserve"> Ní </w:t>
      </w:r>
      <w:proofErr w:type="spellStart"/>
      <w:r w:rsidRPr="009368A4">
        <w:rPr>
          <w:rFonts w:asciiTheme="minorHAnsi" w:hAnsiTheme="minorHAnsi" w:cstheme="minorHAnsi"/>
          <w:sz w:val="20"/>
          <w:szCs w:val="20"/>
        </w:rPr>
        <w:t>Aoláin</w:t>
      </w:r>
      <w:proofErr w:type="spellEnd"/>
      <w:r w:rsidRPr="009368A4">
        <w:rPr>
          <w:rFonts w:asciiTheme="minorHAnsi" w:hAnsiTheme="minorHAnsi" w:cstheme="minorHAnsi"/>
          <w:sz w:val="20"/>
          <w:szCs w:val="20"/>
        </w:rPr>
        <w:t xml:space="preserve">, </w:t>
      </w:r>
      <w:r w:rsidRPr="009368A4">
        <w:rPr>
          <w:rFonts w:asciiTheme="minorHAnsi" w:hAnsiTheme="minorHAnsi" w:cstheme="minorHAnsi"/>
          <w:i/>
          <w:iCs/>
          <w:sz w:val="20"/>
          <w:szCs w:val="20"/>
        </w:rPr>
        <w:t>Human rights impact of counter-terrorism and countering (violent) extremism policies and practices on the rights of women, girls and the family</w:t>
      </w:r>
      <w:r w:rsidRPr="009368A4">
        <w:rPr>
          <w:rFonts w:asciiTheme="minorHAnsi" w:hAnsiTheme="minorHAnsi" w:cstheme="minorHAnsi"/>
          <w:sz w:val="20"/>
          <w:szCs w:val="20"/>
        </w:rPr>
        <w:t>, A/HRC/46/36, 22 January 2021</w:t>
      </w:r>
      <w:r w:rsidR="00763B3A">
        <w:rPr>
          <w:rFonts w:asciiTheme="minorHAnsi" w:hAnsiTheme="minorHAnsi" w:cstheme="minorHAnsi"/>
          <w:sz w:val="20"/>
          <w:szCs w:val="20"/>
        </w:rPr>
        <w:t>.</w:t>
      </w:r>
      <w:r w:rsidRPr="009368A4">
        <w:rPr>
          <w:rFonts w:asciiTheme="minorHAnsi" w:hAnsiTheme="minorHAnsi" w:cstheme="minorHAnsi"/>
          <w:sz w:val="20"/>
          <w:szCs w:val="20"/>
        </w:rPr>
        <w:t xml:space="preserve"> </w:t>
      </w:r>
    </w:p>
  </w:footnote>
  <w:footnote w:id="73">
    <w:p w14:paraId="4E5174CB" w14:textId="1A3F8769" w:rsidR="003469B4" w:rsidRPr="008331C4" w:rsidRDefault="003469B4" w:rsidP="003469B4">
      <w:pPr>
        <w:pStyle w:val="FootnoteText"/>
        <w:rPr>
          <w:sz w:val="20"/>
          <w:szCs w:val="20"/>
        </w:rPr>
      </w:pPr>
      <w:r w:rsidRPr="00ED6F3B">
        <w:rPr>
          <w:rStyle w:val="FootnoteReference"/>
          <w:sz w:val="20"/>
          <w:szCs w:val="20"/>
        </w:rPr>
        <w:footnoteRef/>
      </w:r>
      <w:r w:rsidRPr="00ED6F3B">
        <w:rPr>
          <w:sz w:val="20"/>
          <w:szCs w:val="20"/>
        </w:rPr>
        <w:t xml:space="preserve"> </w:t>
      </w:r>
      <w:r w:rsidRPr="00ED6F3B">
        <w:rPr>
          <w:i/>
          <w:iCs/>
          <w:sz w:val="20"/>
          <w:szCs w:val="20"/>
        </w:rPr>
        <w:t xml:space="preserve">Report of the Special Rapporteur on the promotion and protection of human rights and fundamental freedoms while countering terrorism, </w:t>
      </w:r>
      <w:proofErr w:type="spellStart"/>
      <w:r w:rsidRPr="00ED6F3B">
        <w:rPr>
          <w:i/>
          <w:iCs/>
          <w:sz w:val="20"/>
          <w:szCs w:val="20"/>
        </w:rPr>
        <w:t>Fionnuala</w:t>
      </w:r>
      <w:proofErr w:type="spellEnd"/>
      <w:r w:rsidRPr="00ED6F3B">
        <w:rPr>
          <w:i/>
          <w:iCs/>
          <w:sz w:val="20"/>
          <w:szCs w:val="20"/>
        </w:rPr>
        <w:t xml:space="preserve"> Ní </w:t>
      </w:r>
      <w:proofErr w:type="spellStart"/>
      <w:r w:rsidRPr="00ED6F3B">
        <w:rPr>
          <w:i/>
          <w:iCs/>
          <w:sz w:val="20"/>
          <w:szCs w:val="20"/>
        </w:rPr>
        <w:t>Aoláin</w:t>
      </w:r>
      <w:proofErr w:type="spellEnd"/>
      <w:r w:rsidRPr="00ED6F3B">
        <w:rPr>
          <w:i/>
          <w:iCs/>
          <w:sz w:val="20"/>
          <w:szCs w:val="20"/>
        </w:rPr>
        <w:t xml:space="preserve">: Advancing human rights through the mainstreaming of </w:t>
      </w:r>
      <w:r w:rsidRPr="008331C4">
        <w:rPr>
          <w:i/>
          <w:iCs/>
          <w:sz w:val="20"/>
          <w:szCs w:val="20"/>
        </w:rPr>
        <w:t>human rights in counter-terrorism capacity-building and technical assistance at the national, regional and global levels</w:t>
      </w:r>
      <w:r w:rsidRPr="008331C4">
        <w:rPr>
          <w:sz w:val="20"/>
          <w:szCs w:val="20"/>
        </w:rPr>
        <w:t>, A/76/261, 3 August 2021, at 21</w:t>
      </w:r>
      <w:r w:rsidR="00763B3A">
        <w:rPr>
          <w:sz w:val="20"/>
          <w:szCs w:val="20"/>
        </w:rPr>
        <w:t>.</w:t>
      </w:r>
    </w:p>
  </w:footnote>
  <w:footnote w:id="74">
    <w:p w14:paraId="082231BE" w14:textId="584CBDB6" w:rsidR="008331C4" w:rsidRPr="008331C4" w:rsidRDefault="008331C4">
      <w:pPr>
        <w:pStyle w:val="FootnoteText"/>
        <w:rPr>
          <w:sz w:val="20"/>
          <w:szCs w:val="20"/>
        </w:rPr>
      </w:pPr>
      <w:r w:rsidRPr="008331C4">
        <w:rPr>
          <w:rStyle w:val="FootnoteReference"/>
          <w:sz w:val="20"/>
          <w:szCs w:val="20"/>
        </w:rPr>
        <w:footnoteRef/>
      </w:r>
      <w:r w:rsidRPr="008331C4">
        <w:rPr>
          <w:sz w:val="20"/>
          <w:szCs w:val="20"/>
        </w:rPr>
        <w:t xml:space="preserve"> </w:t>
      </w:r>
      <w:hyperlink r:id="rId15" w:history="1">
        <w:r w:rsidRPr="00DA451D">
          <w:rPr>
            <w:rStyle w:val="Hyperlink"/>
            <w:sz w:val="20"/>
            <w:szCs w:val="20"/>
          </w:rPr>
          <w:t>https://www.unicef.org/child-rights-convention</w:t>
        </w:r>
      </w:hyperlink>
      <w:r w:rsidR="00763B3A" w:rsidRPr="00763B3A">
        <w:rPr>
          <w:rStyle w:val="Hyperlink"/>
          <w:rFonts w:cstheme="minorHAnsi"/>
          <w:color w:val="000000" w:themeColor="text1"/>
          <w:sz w:val="20"/>
          <w:szCs w:val="20"/>
          <w:u w:val="none"/>
        </w:rPr>
        <w:t>.</w:t>
      </w:r>
    </w:p>
  </w:footnote>
  <w:footnote w:id="75">
    <w:p w14:paraId="4BE01018" w14:textId="123A75D4" w:rsidR="006930CD" w:rsidRPr="005B08C9" w:rsidRDefault="006930CD" w:rsidP="006930CD">
      <w:pPr>
        <w:pStyle w:val="BodyText"/>
        <w:jc w:val="both"/>
        <w:rPr>
          <w:rFonts w:asciiTheme="minorHAnsi" w:eastAsia="Times New Roman" w:hAnsiTheme="minorHAnsi" w:cstheme="minorHAnsi"/>
          <w:color w:val="0B0C0C"/>
          <w:sz w:val="20"/>
          <w:szCs w:val="20"/>
        </w:rPr>
      </w:pPr>
      <w:r w:rsidRPr="005B08C9">
        <w:rPr>
          <w:rStyle w:val="FootnoteReference"/>
          <w:rFonts w:asciiTheme="minorHAnsi" w:hAnsiTheme="minorHAnsi" w:cstheme="minorHAnsi"/>
          <w:sz w:val="20"/>
          <w:szCs w:val="20"/>
        </w:rPr>
        <w:footnoteRef/>
      </w:r>
      <w:r w:rsidRPr="005B08C9">
        <w:rPr>
          <w:rFonts w:asciiTheme="minorHAnsi" w:hAnsiTheme="minorHAnsi" w:cstheme="minorHAnsi"/>
          <w:sz w:val="20"/>
          <w:szCs w:val="20"/>
        </w:rPr>
        <w:t xml:space="preserve"> </w:t>
      </w:r>
      <w:r w:rsidRPr="005B08C9">
        <w:rPr>
          <w:rFonts w:asciiTheme="minorHAnsi" w:eastAsia="Times New Roman" w:hAnsiTheme="minorHAnsi" w:cstheme="minorHAnsi"/>
          <w:color w:val="000000" w:themeColor="text1"/>
          <w:sz w:val="20"/>
          <w:szCs w:val="20"/>
        </w:rPr>
        <w:t xml:space="preserve">Human Rights Council, </w:t>
      </w:r>
      <w:r w:rsidRPr="00D76F7A">
        <w:rPr>
          <w:rFonts w:asciiTheme="minorHAnsi" w:eastAsia="Times New Roman" w:hAnsiTheme="minorHAnsi" w:cstheme="minorHAnsi"/>
          <w:i/>
          <w:iCs/>
          <w:color w:val="000000" w:themeColor="text1"/>
          <w:sz w:val="20"/>
          <w:szCs w:val="20"/>
        </w:rPr>
        <w:t>Report of the Special Rapporteur on the promotion and protection of human rights and fundamental freedoms while countering terrorism</w:t>
      </w:r>
      <w:r w:rsidRPr="005B08C9">
        <w:rPr>
          <w:rFonts w:asciiTheme="minorHAnsi" w:eastAsia="Times New Roman" w:hAnsiTheme="minorHAnsi" w:cstheme="minorHAnsi"/>
          <w:color w:val="000000" w:themeColor="text1"/>
          <w:sz w:val="20"/>
          <w:szCs w:val="20"/>
        </w:rPr>
        <w:t>, A/HRC/31/65, 22 February 2016, at 18</w:t>
      </w:r>
      <w:r w:rsidR="00763B3A">
        <w:rPr>
          <w:rFonts w:asciiTheme="minorHAnsi" w:eastAsia="Times New Roman" w:hAnsiTheme="minorHAnsi" w:cstheme="minorHAnsi"/>
          <w:color w:val="000000" w:themeColor="text1"/>
          <w:sz w:val="20"/>
          <w:szCs w:val="20"/>
        </w:rPr>
        <w:t>.</w:t>
      </w:r>
    </w:p>
  </w:footnote>
  <w:footnote w:id="76">
    <w:p w14:paraId="4CB65209" w14:textId="25806B9B" w:rsidR="001D60E7" w:rsidRPr="005B08C9" w:rsidRDefault="001D60E7" w:rsidP="001D60E7">
      <w:pPr>
        <w:pStyle w:val="BodyText"/>
        <w:jc w:val="both"/>
        <w:rPr>
          <w:rFonts w:asciiTheme="minorHAnsi" w:eastAsia="Times New Roman" w:hAnsiTheme="minorHAnsi" w:cstheme="minorHAnsi"/>
          <w:color w:val="0B0C0C"/>
          <w:sz w:val="20"/>
          <w:szCs w:val="20"/>
        </w:rPr>
      </w:pPr>
      <w:r w:rsidRPr="005B08C9">
        <w:rPr>
          <w:rStyle w:val="FootnoteReference"/>
          <w:rFonts w:asciiTheme="minorHAnsi" w:hAnsiTheme="minorHAnsi" w:cstheme="minorHAnsi"/>
          <w:sz w:val="20"/>
          <w:szCs w:val="20"/>
        </w:rPr>
        <w:footnoteRef/>
      </w:r>
      <w:r w:rsidRPr="005B08C9">
        <w:rPr>
          <w:rFonts w:asciiTheme="minorHAnsi" w:hAnsiTheme="minorHAnsi" w:cstheme="minorHAnsi"/>
          <w:sz w:val="20"/>
          <w:szCs w:val="20"/>
        </w:rPr>
        <w:t xml:space="preserve"> </w:t>
      </w:r>
      <w:r w:rsidR="00D76F7A">
        <w:rPr>
          <w:rFonts w:asciiTheme="minorHAnsi" w:eastAsia="Times New Roman" w:hAnsiTheme="minorHAnsi" w:cstheme="minorHAnsi"/>
          <w:color w:val="000000" w:themeColor="text1"/>
          <w:sz w:val="20"/>
          <w:szCs w:val="20"/>
        </w:rPr>
        <w:t>Ibid.</w:t>
      </w:r>
    </w:p>
  </w:footnote>
  <w:footnote w:id="77">
    <w:p w14:paraId="6F4ABA20" w14:textId="39A2F1F6" w:rsidR="00A75C5D" w:rsidRPr="00953DB9" w:rsidRDefault="00A75C5D">
      <w:pPr>
        <w:pStyle w:val="FootnoteText"/>
        <w:rPr>
          <w:sz w:val="20"/>
          <w:szCs w:val="20"/>
        </w:rPr>
      </w:pPr>
      <w:r w:rsidRPr="00AD6059">
        <w:rPr>
          <w:rStyle w:val="FootnoteReference"/>
          <w:rFonts w:cstheme="minorHAnsi"/>
          <w:sz w:val="20"/>
          <w:szCs w:val="20"/>
        </w:rPr>
        <w:footnoteRef/>
      </w:r>
      <w:r w:rsidRPr="00AD6059">
        <w:rPr>
          <w:rFonts w:cstheme="minorHAnsi"/>
          <w:sz w:val="20"/>
          <w:szCs w:val="20"/>
        </w:rPr>
        <w:t xml:space="preserve"> Monica</w:t>
      </w:r>
      <w:r w:rsidRPr="00953DB9">
        <w:rPr>
          <w:sz w:val="20"/>
          <w:szCs w:val="20"/>
        </w:rPr>
        <w:t xml:space="preserve"> Lloyd and Christopher Dean, </w:t>
      </w:r>
      <w:r w:rsidR="00386250" w:rsidRPr="00CB6804">
        <w:rPr>
          <w:rFonts w:cstheme="minorHAnsi"/>
          <w:i/>
          <w:iCs/>
          <w:sz w:val="20"/>
          <w:szCs w:val="20"/>
        </w:rPr>
        <w:t>supra</w:t>
      </w:r>
      <w:r w:rsidR="00386250" w:rsidRPr="00CB6804">
        <w:rPr>
          <w:rFonts w:cstheme="minorHAnsi"/>
          <w:sz w:val="20"/>
          <w:szCs w:val="20"/>
        </w:rPr>
        <w:t xml:space="preserve"> note 4, </w:t>
      </w:r>
      <w:r w:rsidRPr="00953DB9">
        <w:rPr>
          <w:sz w:val="20"/>
          <w:szCs w:val="20"/>
        </w:rPr>
        <w:t xml:space="preserve">at </w:t>
      </w:r>
      <w:r w:rsidR="00D742F5">
        <w:rPr>
          <w:sz w:val="20"/>
          <w:szCs w:val="20"/>
        </w:rPr>
        <w:t>43</w:t>
      </w:r>
      <w:r w:rsidR="00763B3A">
        <w:rPr>
          <w:sz w:val="20"/>
          <w:szCs w:val="20"/>
        </w:rPr>
        <w:t>.</w:t>
      </w:r>
    </w:p>
  </w:footnote>
  <w:footnote w:id="78">
    <w:p w14:paraId="6F879923" w14:textId="6BA7E7EE" w:rsidR="0065306E" w:rsidRPr="00953DB9" w:rsidRDefault="0065306E" w:rsidP="0065306E">
      <w:pPr>
        <w:pStyle w:val="FootnoteText"/>
        <w:rPr>
          <w:sz w:val="20"/>
          <w:szCs w:val="20"/>
        </w:rPr>
      </w:pPr>
      <w:r w:rsidRPr="00953DB9">
        <w:rPr>
          <w:rStyle w:val="FootnoteReference"/>
          <w:sz w:val="20"/>
          <w:szCs w:val="20"/>
        </w:rPr>
        <w:footnoteRef/>
      </w:r>
      <w:r w:rsidRPr="00953DB9">
        <w:rPr>
          <w:sz w:val="20"/>
          <w:szCs w:val="20"/>
        </w:rPr>
        <w:t xml:space="preserve"> Catherine McGlynn and Shaun McDaid, </w:t>
      </w:r>
      <w:r w:rsidR="00EE560E" w:rsidRPr="00CB6804">
        <w:rPr>
          <w:rFonts w:cstheme="minorHAnsi"/>
          <w:i/>
          <w:iCs/>
          <w:sz w:val="20"/>
          <w:szCs w:val="20"/>
        </w:rPr>
        <w:t xml:space="preserve">supra </w:t>
      </w:r>
      <w:r w:rsidR="00EE560E" w:rsidRPr="00CB6804">
        <w:rPr>
          <w:rFonts w:cstheme="minorHAnsi"/>
          <w:sz w:val="20"/>
          <w:szCs w:val="20"/>
        </w:rPr>
        <w:t>note 4</w:t>
      </w:r>
      <w:r w:rsidR="00EE560E">
        <w:rPr>
          <w:rFonts w:cstheme="minorHAnsi"/>
          <w:sz w:val="20"/>
          <w:szCs w:val="20"/>
        </w:rPr>
        <w:t xml:space="preserve">, </w:t>
      </w:r>
      <w:r w:rsidRPr="00953DB9">
        <w:rPr>
          <w:sz w:val="20"/>
          <w:szCs w:val="20"/>
        </w:rPr>
        <w:t>at 61</w:t>
      </w:r>
      <w:r w:rsidR="00763B3A">
        <w:rPr>
          <w:sz w:val="20"/>
          <w:szCs w:val="20"/>
        </w:rPr>
        <w:t>.</w:t>
      </w:r>
    </w:p>
  </w:footnote>
  <w:footnote w:id="79">
    <w:p w14:paraId="400AB92B" w14:textId="77777777" w:rsidR="0065306E" w:rsidRPr="00953DB9" w:rsidRDefault="0065306E" w:rsidP="0065306E">
      <w:pPr>
        <w:pStyle w:val="FootnoteText"/>
        <w:rPr>
          <w:sz w:val="20"/>
          <w:szCs w:val="20"/>
        </w:rPr>
      </w:pPr>
      <w:r w:rsidRPr="00953DB9">
        <w:rPr>
          <w:rStyle w:val="FootnoteReference"/>
          <w:sz w:val="20"/>
          <w:szCs w:val="20"/>
        </w:rPr>
        <w:footnoteRef/>
      </w:r>
      <w:r w:rsidRPr="00953DB9">
        <w:rPr>
          <w:sz w:val="20"/>
          <w:szCs w:val="20"/>
        </w:rPr>
        <w:t xml:space="preserve"> Vikram Dodd, </w:t>
      </w:r>
      <w:proofErr w:type="spellStart"/>
      <w:r w:rsidRPr="00953DB9">
        <w:rPr>
          <w:rFonts w:cstheme="minorHAnsi"/>
          <w:i/>
          <w:iCs/>
          <w:color w:val="000000" w:themeColor="text1"/>
          <w:sz w:val="20"/>
          <w:szCs w:val="20"/>
        </w:rPr>
        <w:t>Roshonara</w:t>
      </w:r>
      <w:proofErr w:type="spellEnd"/>
      <w:r w:rsidRPr="00953DB9">
        <w:rPr>
          <w:rFonts w:cstheme="minorHAnsi"/>
          <w:i/>
          <w:iCs/>
          <w:color w:val="000000" w:themeColor="text1"/>
          <w:sz w:val="20"/>
          <w:szCs w:val="20"/>
        </w:rPr>
        <w:t xml:space="preserve"> Choudhry</w:t>
      </w:r>
      <w:r w:rsidRPr="00953DB9">
        <w:rPr>
          <w:i/>
          <w:iCs/>
          <w:sz w:val="20"/>
          <w:szCs w:val="20"/>
        </w:rPr>
        <w:t>: Police interview extracts</w:t>
      </w:r>
      <w:r w:rsidRPr="00953DB9">
        <w:rPr>
          <w:sz w:val="20"/>
          <w:szCs w:val="20"/>
        </w:rPr>
        <w:t>, The Guardian, 3 November 2010</w:t>
      </w:r>
    </w:p>
  </w:footnote>
  <w:footnote w:id="80">
    <w:p w14:paraId="416E0BB4" w14:textId="46F934CE" w:rsidR="00F312E2" w:rsidRPr="00032DED" w:rsidRDefault="003E0B8B" w:rsidP="003E0B8B">
      <w:pPr>
        <w:pStyle w:val="FootnoteText"/>
        <w:rPr>
          <w:sz w:val="20"/>
          <w:szCs w:val="20"/>
        </w:rPr>
      </w:pPr>
      <w:r w:rsidRPr="00032DED">
        <w:rPr>
          <w:rStyle w:val="FootnoteReference"/>
          <w:sz w:val="20"/>
          <w:szCs w:val="20"/>
        </w:rPr>
        <w:footnoteRef/>
      </w:r>
      <w:r w:rsidRPr="00032DED">
        <w:rPr>
          <w:sz w:val="20"/>
          <w:szCs w:val="20"/>
        </w:rPr>
        <w:t xml:space="preserve"> </w:t>
      </w:r>
      <w:r>
        <w:rPr>
          <w:sz w:val="20"/>
          <w:szCs w:val="20"/>
        </w:rPr>
        <w:t xml:space="preserve">Daniel De Simone, </w:t>
      </w:r>
      <w:r w:rsidRPr="00D76F7A">
        <w:rPr>
          <w:i/>
          <w:iCs/>
          <w:sz w:val="20"/>
          <w:szCs w:val="20"/>
        </w:rPr>
        <w:t>Manchester Arena Inquiry: Secret evidence reveals what MI5 knew about Salman Abedi</w:t>
      </w:r>
      <w:r>
        <w:rPr>
          <w:sz w:val="20"/>
          <w:szCs w:val="20"/>
        </w:rPr>
        <w:t xml:space="preserve">, BBC News, 15 February 2022, at </w:t>
      </w:r>
      <w:hyperlink r:id="rId16" w:history="1">
        <w:r w:rsidR="00F312E2" w:rsidRPr="00827022">
          <w:rPr>
            <w:rStyle w:val="Hyperlink"/>
            <w:sz w:val="20"/>
            <w:szCs w:val="20"/>
          </w:rPr>
          <w:t>https://www.bbc.com/news/uk-england-manchester-60391622</w:t>
        </w:r>
      </w:hyperlink>
      <w:r w:rsidR="00F312E2" w:rsidRPr="00763B3A">
        <w:rPr>
          <w:rStyle w:val="Hyperlink"/>
          <w:rFonts w:cstheme="minorHAnsi"/>
          <w:color w:val="000000" w:themeColor="text1"/>
          <w:sz w:val="20"/>
          <w:szCs w:val="20"/>
          <w:u w:val="none"/>
        </w:rPr>
        <w:t>.</w:t>
      </w:r>
    </w:p>
  </w:footnote>
  <w:footnote w:id="81">
    <w:p w14:paraId="0B36C02A" w14:textId="477C0A04" w:rsidR="00596C93" w:rsidRPr="00D80FCC" w:rsidRDefault="00596C93" w:rsidP="00596C93">
      <w:pPr>
        <w:pStyle w:val="FootnoteText"/>
        <w:rPr>
          <w:sz w:val="20"/>
          <w:szCs w:val="20"/>
        </w:rPr>
      </w:pPr>
      <w:r w:rsidRPr="00D80FCC">
        <w:rPr>
          <w:rStyle w:val="FootnoteReference"/>
          <w:sz w:val="20"/>
          <w:szCs w:val="20"/>
        </w:rPr>
        <w:footnoteRef/>
      </w:r>
      <w:r w:rsidRPr="00D80FCC">
        <w:rPr>
          <w:sz w:val="20"/>
          <w:szCs w:val="20"/>
        </w:rPr>
        <w:t xml:space="preserve"> </w:t>
      </w:r>
      <w:r w:rsidRPr="00D80FCC">
        <w:rPr>
          <w:rFonts w:eastAsia="Times New Roman" w:cstheme="minorHAnsi"/>
          <w:sz w:val="20"/>
          <w:szCs w:val="20"/>
        </w:rPr>
        <w:t xml:space="preserve">Gabe Mythen, Sandra </w:t>
      </w:r>
      <w:proofErr w:type="spellStart"/>
      <w:r w:rsidRPr="00D80FCC">
        <w:rPr>
          <w:rFonts w:eastAsia="Times New Roman" w:cstheme="minorHAnsi"/>
          <w:sz w:val="20"/>
          <w:szCs w:val="20"/>
        </w:rPr>
        <w:t>Walklate</w:t>
      </w:r>
      <w:proofErr w:type="spellEnd"/>
      <w:r w:rsidRPr="00D80FCC">
        <w:rPr>
          <w:rFonts w:eastAsia="Times New Roman" w:cstheme="minorHAnsi"/>
          <w:sz w:val="20"/>
          <w:szCs w:val="20"/>
        </w:rPr>
        <w:t xml:space="preserve"> and Elizabeth-Jane </w:t>
      </w:r>
      <w:proofErr w:type="spellStart"/>
      <w:r w:rsidRPr="00D80FCC">
        <w:rPr>
          <w:rFonts w:eastAsia="Times New Roman" w:cstheme="minorHAnsi"/>
          <w:sz w:val="20"/>
          <w:szCs w:val="20"/>
        </w:rPr>
        <w:t>Peatfield</w:t>
      </w:r>
      <w:proofErr w:type="spellEnd"/>
      <w:r w:rsidRPr="00D80FCC">
        <w:rPr>
          <w:rFonts w:eastAsia="Times New Roman" w:cstheme="minorHAnsi"/>
          <w:sz w:val="20"/>
          <w:szCs w:val="20"/>
        </w:rPr>
        <w:t xml:space="preserve">, </w:t>
      </w:r>
      <w:r w:rsidR="00EE560E" w:rsidRPr="00CB6804">
        <w:rPr>
          <w:rFonts w:eastAsia="Times New Roman" w:cstheme="minorHAnsi"/>
          <w:i/>
          <w:iCs/>
          <w:sz w:val="20"/>
          <w:szCs w:val="20"/>
        </w:rPr>
        <w:t xml:space="preserve">supra </w:t>
      </w:r>
      <w:r w:rsidR="00EE560E" w:rsidRPr="00CB6804">
        <w:rPr>
          <w:rFonts w:eastAsia="Times New Roman" w:cstheme="minorHAnsi"/>
          <w:sz w:val="20"/>
          <w:szCs w:val="20"/>
        </w:rPr>
        <w:t xml:space="preserve">note 12, </w:t>
      </w:r>
      <w:r w:rsidRPr="00D80FCC">
        <w:rPr>
          <w:rFonts w:eastAsia="Times New Roman" w:cstheme="minorHAnsi"/>
          <w:sz w:val="20"/>
          <w:szCs w:val="20"/>
        </w:rPr>
        <w:t>at 193-194.</w:t>
      </w:r>
    </w:p>
  </w:footnote>
  <w:footnote w:id="82">
    <w:p w14:paraId="0A526597" w14:textId="616B9076" w:rsidR="00212E63" w:rsidRPr="00777DD9" w:rsidRDefault="00212E63" w:rsidP="00212E63">
      <w:pPr>
        <w:pStyle w:val="NoSpacing"/>
        <w:rPr>
          <w:rFonts w:asciiTheme="minorHAnsi" w:hAnsiTheme="minorHAnsi" w:cstheme="minorHAnsi"/>
          <w:sz w:val="20"/>
          <w:szCs w:val="20"/>
        </w:rPr>
      </w:pPr>
      <w:r w:rsidRPr="00777DD9">
        <w:rPr>
          <w:rStyle w:val="FootnoteReference"/>
          <w:rFonts w:asciiTheme="minorHAnsi" w:hAnsiTheme="minorHAnsi" w:cstheme="minorHAnsi"/>
          <w:sz w:val="20"/>
          <w:szCs w:val="20"/>
        </w:rPr>
        <w:footnoteRef/>
      </w:r>
      <w:r w:rsidRPr="00777DD9">
        <w:rPr>
          <w:rFonts w:asciiTheme="minorHAnsi" w:hAnsiTheme="minorHAnsi" w:cstheme="minorHAnsi"/>
          <w:sz w:val="20"/>
          <w:szCs w:val="20"/>
        </w:rPr>
        <w:t xml:space="preserve"> Human Rights Council, </w:t>
      </w:r>
      <w:r w:rsidRPr="00777DD9">
        <w:rPr>
          <w:rFonts w:asciiTheme="minorHAnsi" w:hAnsiTheme="minorHAnsi" w:cstheme="minorHAnsi"/>
          <w:i/>
          <w:iCs/>
          <w:sz w:val="20"/>
          <w:szCs w:val="20"/>
        </w:rPr>
        <w:t>Resolution on Human rights and preventing and countering violent extremism</w:t>
      </w:r>
      <w:r w:rsidRPr="00777DD9">
        <w:rPr>
          <w:rFonts w:asciiTheme="minorHAnsi" w:hAnsiTheme="minorHAnsi" w:cstheme="minorHAnsi"/>
          <w:sz w:val="20"/>
          <w:szCs w:val="20"/>
        </w:rPr>
        <w:t>, A/HRC/RES/30/15, 2 October 2015</w:t>
      </w:r>
      <w:r w:rsidR="00F312E2" w:rsidRPr="00777DD9">
        <w:rPr>
          <w:rFonts w:asciiTheme="minorHAnsi" w:hAnsiTheme="minorHAnsi" w:cstheme="minorHAnsi"/>
          <w:sz w:val="20"/>
          <w:szCs w:val="20"/>
        </w:rPr>
        <w:t>.</w:t>
      </w:r>
      <w:r w:rsidRPr="00777DD9">
        <w:rPr>
          <w:rFonts w:asciiTheme="minorHAnsi" w:hAnsiTheme="minorHAnsi" w:cstheme="minorHAnsi"/>
          <w:sz w:val="20"/>
          <w:szCs w:val="20"/>
        </w:rPr>
        <w:t xml:space="preserve"> </w:t>
      </w:r>
    </w:p>
  </w:footnote>
  <w:footnote w:id="83">
    <w:p w14:paraId="70064A3F" w14:textId="6A9566F5" w:rsidR="00212E63" w:rsidRPr="00777DD9" w:rsidRDefault="00212E63" w:rsidP="00212E63">
      <w:pPr>
        <w:pStyle w:val="FootnoteText"/>
        <w:rPr>
          <w:rFonts w:cstheme="minorHAnsi"/>
          <w:sz w:val="20"/>
          <w:szCs w:val="20"/>
        </w:rPr>
      </w:pPr>
      <w:r w:rsidRPr="00777DD9">
        <w:rPr>
          <w:rStyle w:val="FootnoteReference"/>
          <w:rFonts w:cstheme="minorHAnsi"/>
          <w:sz w:val="20"/>
          <w:szCs w:val="20"/>
        </w:rPr>
        <w:footnoteRef/>
      </w:r>
      <w:r w:rsidRPr="00777DD9">
        <w:rPr>
          <w:rFonts w:cstheme="minorHAnsi"/>
          <w:sz w:val="20"/>
          <w:szCs w:val="20"/>
        </w:rPr>
        <w:t xml:space="preserve"> Christina </w:t>
      </w:r>
      <w:proofErr w:type="spellStart"/>
      <w:r w:rsidRPr="00777DD9">
        <w:rPr>
          <w:rFonts w:cstheme="minorHAnsi"/>
          <w:sz w:val="20"/>
          <w:szCs w:val="20"/>
        </w:rPr>
        <w:t>Pantazis</w:t>
      </w:r>
      <w:proofErr w:type="spellEnd"/>
      <w:r w:rsidRPr="00777DD9">
        <w:rPr>
          <w:rFonts w:cstheme="minorHAnsi"/>
          <w:sz w:val="20"/>
          <w:szCs w:val="20"/>
        </w:rPr>
        <w:t xml:space="preserve"> and Simon Pemberton, </w:t>
      </w:r>
      <w:r w:rsidR="00D76F7A">
        <w:rPr>
          <w:rFonts w:cstheme="minorHAnsi"/>
          <w:i/>
          <w:iCs/>
          <w:sz w:val="20"/>
          <w:szCs w:val="20"/>
        </w:rPr>
        <w:t xml:space="preserve">supra </w:t>
      </w:r>
      <w:r w:rsidR="00D76F7A" w:rsidRPr="00D76F7A">
        <w:rPr>
          <w:rFonts w:cstheme="minorHAnsi"/>
          <w:sz w:val="20"/>
          <w:szCs w:val="20"/>
        </w:rPr>
        <w:t>note 55,</w:t>
      </w:r>
      <w:r w:rsidR="00D76F7A" w:rsidRPr="00453D4F">
        <w:rPr>
          <w:rFonts w:cstheme="minorHAnsi"/>
          <w:sz w:val="20"/>
          <w:szCs w:val="20"/>
        </w:rPr>
        <w:t xml:space="preserve"> </w:t>
      </w:r>
      <w:r w:rsidRPr="00777DD9">
        <w:rPr>
          <w:rFonts w:cstheme="minorHAnsi"/>
          <w:sz w:val="20"/>
          <w:szCs w:val="20"/>
        </w:rPr>
        <w:t>at 660</w:t>
      </w:r>
      <w:r w:rsidR="00F312E2" w:rsidRPr="00777DD9">
        <w:rPr>
          <w:rFonts w:cstheme="minorHAnsi"/>
          <w:sz w:val="20"/>
          <w:szCs w:val="20"/>
        </w:rPr>
        <w:t>.</w:t>
      </w:r>
    </w:p>
  </w:footnote>
  <w:footnote w:id="84">
    <w:p w14:paraId="016C680E" w14:textId="41E9011A" w:rsidR="00327987" w:rsidRPr="00777DD9" w:rsidRDefault="00327987">
      <w:pPr>
        <w:pStyle w:val="FootnoteText"/>
        <w:rPr>
          <w:sz w:val="20"/>
          <w:szCs w:val="20"/>
        </w:rPr>
      </w:pPr>
      <w:r w:rsidRPr="00777DD9">
        <w:rPr>
          <w:rStyle w:val="FootnoteReference"/>
          <w:sz w:val="20"/>
          <w:szCs w:val="20"/>
        </w:rPr>
        <w:footnoteRef/>
      </w:r>
      <w:r w:rsidRPr="00777DD9">
        <w:rPr>
          <w:sz w:val="20"/>
          <w:szCs w:val="20"/>
        </w:rPr>
        <w:t xml:space="preserve"> Craig McCann, </w:t>
      </w:r>
      <w:r w:rsidRPr="00777DD9">
        <w:rPr>
          <w:i/>
          <w:iCs/>
          <w:sz w:val="20"/>
          <w:szCs w:val="20"/>
        </w:rPr>
        <w:t xml:space="preserve">The Prevent Strategy and Right-Wing Extremism: A case study of the English </w:t>
      </w:r>
      <w:proofErr w:type="spellStart"/>
      <w:r w:rsidRPr="00777DD9">
        <w:rPr>
          <w:i/>
          <w:iCs/>
          <w:sz w:val="20"/>
          <w:szCs w:val="20"/>
        </w:rPr>
        <w:t>Defence</w:t>
      </w:r>
      <w:proofErr w:type="spellEnd"/>
      <w:r w:rsidRPr="00777DD9">
        <w:rPr>
          <w:i/>
          <w:iCs/>
          <w:sz w:val="20"/>
          <w:szCs w:val="20"/>
        </w:rPr>
        <w:t xml:space="preserve"> League</w:t>
      </w:r>
      <w:r w:rsidRPr="00777DD9">
        <w:rPr>
          <w:sz w:val="20"/>
          <w:szCs w:val="20"/>
        </w:rPr>
        <w:t xml:space="preserve"> (Routledge; 2019) at 33</w:t>
      </w:r>
      <w:r w:rsidR="0044613C" w:rsidRPr="00777DD9">
        <w:rPr>
          <w:sz w:val="20"/>
          <w:szCs w:val="20"/>
        </w:rPr>
        <w:t xml:space="preserve">, and House of Commons Intelligence and Security Committee, </w:t>
      </w:r>
      <w:r w:rsidR="001F7EF9" w:rsidRPr="00777DD9">
        <w:rPr>
          <w:sz w:val="20"/>
          <w:szCs w:val="20"/>
        </w:rPr>
        <w:t>at 125</w:t>
      </w:r>
      <w:r w:rsidRPr="00777DD9">
        <w:rPr>
          <w:sz w:val="20"/>
          <w:szCs w:val="20"/>
        </w:rPr>
        <w:t>.</w:t>
      </w:r>
    </w:p>
  </w:footnote>
  <w:footnote w:id="85">
    <w:p w14:paraId="5134B19F" w14:textId="410397AC" w:rsidR="00A7318A" w:rsidRPr="007A22F9" w:rsidRDefault="00A7318A" w:rsidP="00A7318A">
      <w:pPr>
        <w:pStyle w:val="FootnoteText"/>
        <w:rPr>
          <w:sz w:val="20"/>
          <w:szCs w:val="20"/>
        </w:rPr>
      </w:pPr>
      <w:r w:rsidRPr="007A22F9">
        <w:rPr>
          <w:rStyle w:val="FootnoteReference"/>
          <w:sz w:val="20"/>
          <w:szCs w:val="20"/>
        </w:rPr>
        <w:footnoteRef/>
      </w:r>
      <w:r w:rsidRPr="007A22F9">
        <w:rPr>
          <w:sz w:val="20"/>
          <w:szCs w:val="20"/>
        </w:rPr>
        <w:t xml:space="preserve"> Vikram Dodd, </w:t>
      </w:r>
      <w:r w:rsidRPr="007A22F9">
        <w:rPr>
          <w:i/>
          <w:iCs/>
          <w:sz w:val="20"/>
          <w:szCs w:val="20"/>
        </w:rPr>
        <w:t>Terrorism in the UK: The rising threat of far-right extremists</w:t>
      </w:r>
      <w:r w:rsidRPr="007A22F9">
        <w:rPr>
          <w:sz w:val="20"/>
          <w:szCs w:val="20"/>
        </w:rPr>
        <w:t xml:space="preserve">, The Guardian, 16 May 2022. The security authorities also claimed to have prevented eighteen Islamist plots and </w:t>
      </w:r>
      <w:r w:rsidRPr="007A22F9">
        <w:rPr>
          <w:rFonts w:cstheme="minorHAnsi"/>
          <w:color w:val="121212"/>
          <w:sz w:val="20"/>
          <w:szCs w:val="20"/>
          <w:shd w:val="clear" w:color="auto" w:fill="FFFFFF"/>
        </w:rPr>
        <w:t>two linked to left, anarchist or single-issue terrorism (LASIT) in the same period.</w:t>
      </w:r>
    </w:p>
  </w:footnote>
  <w:footnote w:id="86">
    <w:p w14:paraId="6C8B18C4" w14:textId="09F93125" w:rsidR="00A643A5" w:rsidRPr="007A22F9" w:rsidRDefault="00A643A5" w:rsidP="00A643A5">
      <w:pPr>
        <w:pStyle w:val="FootnoteText"/>
        <w:rPr>
          <w:sz w:val="20"/>
          <w:szCs w:val="20"/>
        </w:rPr>
      </w:pPr>
      <w:r w:rsidRPr="007A22F9">
        <w:rPr>
          <w:rStyle w:val="FootnoteReference"/>
          <w:sz w:val="20"/>
          <w:szCs w:val="20"/>
        </w:rPr>
        <w:footnoteRef/>
      </w:r>
      <w:r w:rsidRPr="007A22F9">
        <w:rPr>
          <w:sz w:val="20"/>
          <w:szCs w:val="20"/>
        </w:rPr>
        <w:t xml:space="preserve"> </w:t>
      </w:r>
      <w:r w:rsidR="00D76F7A">
        <w:rPr>
          <w:sz w:val="20"/>
          <w:szCs w:val="20"/>
        </w:rPr>
        <w:t>Ibid.</w:t>
      </w:r>
    </w:p>
  </w:footnote>
  <w:footnote w:id="87">
    <w:p w14:paraId="5B41814B" w14:textId="5387BB7B" w:rsidR="007A22F9" w:rsidRPr="007A22F9" w:rsidRDefault="007A22F9">
      <w:pPr>
        <w:pStyle w:val="FootnoteText"/>
        <w:rPr>
          <w:sz w:val="20"/>
          <w:szCs w:val="20"/>
        </w:rPr>
      </w:pPr>
      <w:r w:rsidRPr="007A22F9">
        <w:rPr>
          <w:rStyle w:val="FootnoteReference"/>
          <w:sz w:val="20"/>
          <w:szCs w:val="20"/>
        </w:rPr>
        <w:footnoteRef/>
      </w:r>
      <w:r w:rsidRPr="007A22F9">
        <w:rPr>
          <w:sz w:val="20"/>
          <w:szCs w:val="20"/>
        </w:rPr>
        <w:t xml:space="preserve"> House of Commons Intelligence and Security Committee, </w:t>
      </w:r>
      <w:r w:rsidRPr="007A22F9">
        <w:rPr>
          <w:i/>
          <w:iCs/>
          <w:sz w:val="20"/>
          <w:szCs w:val="20"/>
        </w:rPr>
        <w:t>Right-Wing Extremism</w:t>
      </w:r>
      <w:r w:rsidRPr="007A22F9">
        <w:rPr>
          <w:sz w:val="20"/>
          <w:szCs w:val="20"/>
        </w:rPr>
        <w:t>, HC459, 13 July 2022, at 16.</w:t>
      </w:r>
    </w:p>
  </w:footnote>
  <w:footnote w:id="88">
    <w:p w14:paraId="29512A8E" w14:textId="4D9BAC83" w:rsidR="009A42A6" w:rsidRPr="007A22F9" w:rsidRDefault="009A42A6">
      <w:pPr>
        <w:pStyle w:val="FootnoteText"/>
        <w:rPr>
          <w:sz w:val="20"/>
          <w:szCs w:val="20"/>
        </w:rPr>
      </w:pPr>
      <w:r w:rsidRPr="007A22F9">
        <w:rPr>
          <w:rStyle w:val="FootnoteReference"/>
          <w:sz w:val="20"/>
          <w:szCs w:val="20"/>
        </w:rPr>
        <w:footnoteRef/>
      </w:r>
      <w:r w:rsidRPr="007A22F9">
        <w:rPr>
          <w:sz w:val="20"/>
          <w:szCs w:val="20"/>
        </w:rPr>
        <w:t xml:space="preserve"> Craig McCann, </w:t>
      </w:r>
      <w:r w:rsidR="00D76F7A">
        <w:rPr>
          <w:i/>
          <w:iCs/>
          <w:sz w:val="20"/>
          <w:szCs w:val="20"/>
        </w:rPr>
        <w:t xml:space="preserve">supra </w:t>
      </w:r>
      <w:r w:rsidR="00D76F7A" w:rsidRPr="00D76F7A">
        <w:rPr>
          <w:sz w:val="20"/>
          <w:szCs w:val="20"/>
        </w:rPr>
        <w:t>note 84,</w:t>
      </w:r>
      <w:r w:rsidRPr="007A22F9">
        <w:rPr>
          <w:sz w:val="20"/>
          <w:szCs w:val="20"/>
        </w:rPr>
        <w:t xml:space="preserve"> at 42.</w:t>
      </w:r>
    </w:p>
  </w:footnote>
  <w:footnote w:id="89">
    <w:p w14:paraId="2402559E" w14:textId="3CA50DBF" w:rsidR="00B1379B" w:rsidRPr="007A22F9" w:rsidRDefault="00B1379B">
      <w:pPr>
        <w:pStyle w:val="FootnoteText"/>
        <w:rPr>
          <w:sz w:val="20"/>
          <w:szCs w:val="20"/>
        </w:rPr>
      </w:pPr>
      <w:r w:rsidRPr="007A22F9">
        <w:rPr>
          <w:rStyle w:val="FootnoteReference"/>
          <w:sz w:val="20"/>
          <w:szCs w:val="20"/>
        </w:rPr>
        <w:footnoteRef/>
      </w:r>
      <w:r w:rsidRPr="007A22F9">
        <w:rPr>
          <w:sz w:val="20"/>
          <w:szCs w:val="20"/>
        </w:rPr>
        <w:t xml:space="preserve"> See www.jerrypournelle.com/archives2/archives2mail/mail408.html#Iron. </w:t>
      </w:r>
    </w:p>
  </w:footnote>
  <w:footnote w:id="90">
    <w:p w14:paraId="5174804D" w14:textId="42970C2B" w:rsidR="00F40AD8" w:rsidRPr="006503BA" w:rsidRDefault="00F40AD8" w:rsidP="00F40AD8">
      <w:pPr>
        <w:pStyle w:val="FootnoteText"/>
        <w:rPr>
          <w:sz w:val="20"/>
          <w:szCs w:val="20"/>
        </w:rPr>
      </w:pPr>
      <w:r w:rsidRPr="007A22F9">
        <w:rPr>
          <w:rStyle w:val="FootnoteReference"/>
          <w:sz w:val="20"/>
          <w:szCs w:val="20"/>
        </w:rPr>
        <w:footnoteRef/>
      </w:r>
      <w:r w:rsidRPr="007A22F9">
        <w:rPr>
          <w:sz w:val="20"/>
          <w:szCs w:val="20"/>
        </w:rPr>
        <w:t xml:space="preserve"> House of Commons Intelligence and Security Committee, </w:t>
      </w:r>
      <w:r w:rsidRPr="007A22F9">
        <w:rPr>
          <w:i/>
          <w:iCs/>
          <w:sz w:val="20"/>
          <w:szCs w:val="20"/>
        </w:rPr>
        <w:t>Right-Wing Extremism</w:t>
      </w:r>
      <w:r w:rsidRPr="007A22F9">
        <w:rPr>
          <w:sz w:val="20"/>
          <w:szCs w:val="20"/>
        </w:rPr>
        <w:t>, HC459, 13 July 2022, at 126.</w:t>
      </w:r>
      <w:r w:rsidR="006503BA" w:rsidRPr="007A22F9">
        <w:rPr>
          <w:rFonts w:cstheme="minorHAnsi"/>
          <w:sz w:val="20"/>
          <w:szCs w:val="20"/>
        </w:rPr>
        <w:t xml:space="preserve"> In all, further action</w:t>
      </w:r>
      <w:r w:rsidR="006503BA" w:rsidRPr="006503BA">
        <w:rPr>
          <w:rFonts w:cstheme="minorHAnsi"/>
          <w:sz w:val="20"/>
          <w:szCs w:val="20"/>
        </w:rPr>
        <w:t xml:space="preserve"> was only taken in approximately 10% of these initial referrals.</w:t>
      </w:r>
    </w:p>
  </w:footnote>
  <w:footnote w:id="91">
    <w:p w14:paraId="6EAF6A38" w14:textId="7BE93B5A" w:rsidR="008C13DD" w:rsidRPr="008C13DD" w:rsidRDefault="008C13DD">
      <w:pPr>
        <w:pStyle w:val="FootnoteText"/>
        <w:rPr>
          <w:rFonts w:cstheme="minorHAnsi"/>
          <w:sz w:val="20"/>
          <w:szCs w:val="20"/>
          <w:bdr w:val="none" w:sz="0" w:space="0" w:color="auto" w:frame="1"/>
        </w:rPr>
      </w:pPr>
      <w:r w:rsidRPr="00B1379B">
        <w:rPr>
          <w:rStyle w:val="FootnoteReference"/>
          <w:sz w:val="20"/>
          <w:szCs w:val="20"/>
        </w:rPr>
        <w:footnoteRef/>
      </w:r>
      <w:r w:rsidRPr="00B1379B">
        <w:rPr>
          <w:sz w:val="20"/>
          <w:szCs w:val="20"/>
        </w:rPr>
        <w:t xml:space="preserve"> </w:t>
      </w:r>
      <w:r w:rsidRPr="00B1379B">
        <w:rPr>
          <w:rFonts w:cstheme="minorHAnsi"/>
          <w:sz w:val="20"/>
          <w:szCs w:val="20"/>
          <w:bdr w:val="none" w:sz="0" w:space="0" w:color="auto" w:frame="1"/>
        </w:rPr>
        <w:t>Phil</w:t>
      </w:r>
      <w:r w:rsidRPr="008C13DD">
        <w:rPr>
          <w:rFonts w:cstheme="minorHAnsi"/>
          <w:sz w:val="20"/>
          <w:szCs w:val="20"/>
          <w:bdr w:val="none" w:sz="0" w:space="0" w:color="auto" w:frame="1"/>
        </w:rPr>
        <w:t xml:space="preserve"> Gurski, </w:t>
      </w:r>
      <w:r w:rsidRPr="008C13DD">
        <w:rPr>
          <w:rFonts w:cstheme="minorHAnsi"/>
          <w:i/>
          <w:iCs/>
          <w:sz w:val="20"/>
          <w:szCs w:val="20"/>
          <w:bdr w:val="none" w:sz="0" w:space="0" w:color="auto" w:frame="1"/>
        </w:rPr>
        <w:t xml:space="preserve">Do ‘Prevent’ Type CT </w:t>
      </w:r>
      <w:proofErr w:type="spellStart"/>
      <w:r w:rsidRPr="008C13DD">
        <w:rPr>
          <w:rFonts w:cstheme="minorHAnsi"/>
          <w:i/>
          <w:iCs/>
          <w:sz w:val="20"/>
          <w:szCs w:val="20"/>
          <w:bdr w:val="none" w:sz="0" w:space="0" w:color="auto" w:frame="1"/>
        </w:rPr>
        <w:t>Programmes</w:t>
      </w:r>
      <w:proofErr w:type="spellEnd"/>
      <w:r w:rsidRPr="008C13DD">
        <w:rPr>
          <w:rFonts w:cstheme="minorHAnsi"/>
          <w:i/>
          <w:iCs/>
          <w:sz w:val="20"/>
          <w:szCs w:val="20"/>
          <w:bdr w:val="none" w:sz="0" w:space="0" w:color="auto" w:frame="1"/>
        </w:rPr>
        <w:t xml:space="preserve"> Really Work?</w:t>
      </w:r>
      <w:r w:rsidRPr="008C13DD">
        <w:rPr>
          <w:rFonts w:cstheme="minorHAnsi"/>
          <w:sz w:val="20"/>
          <w:szCs w:val="20"/>
          <w:bdr w:val="none" w:sz="0" w:space="0" w:color="auto" w:frame="1"/>
        </w:rPr>
        <w:t xml:space="preserve">, 20 April 2022 at </w:t>
      </w:r>
      <w:hyperlink r:id="rId17" w:history="1">
        <w:r w:rsidRPr="008A1A2E">
          <w:rPr>
            <w:rStyle w:val="Hyperlink"/>
            <w:rFonts w:cstheme="minorHAnsi"/>
            <w:sz w:val="20"/>
            <w:szCs w:val="20"/>
            <w:bdr w:val="none" w:sz="0" w:space="0" w:color="auto" w:frame="1"/>
          </w:rPr>
          <w:t>https://borealisthreatandrisk.com/do-prevent-type-ct-programmes-really-work/</w:t>
        </w:r>
      </w:hyperlink>
    </w:p>
  </w:footnote>
  <w:footnote w:id="92">
    <w:p w14:paraId="26B5F905" w14:textId="77777777" w:rsidR="00451D6F" w:rsidRPr="003576BB" w:rsidRDefault="00451D6F" w:rsidP="00451D6F">
      <w:pPr>
        <w:rPr>
          <w:rFonts w:asciiTheme="minorHAnsi" w:hAnsiTheme="minorHAnsi" w:cstheme="minorHAnsi"/>
          <w:color w:val="000000" w:themeColor="text1"/>
          <w:sz w:val="20"/>
          <w:szCs w:val="20"/>
        </w:rPr>
      </w:pPr>
      <w:r w:rsidRPr="003576BB">
        <w:rPr>
          <w:rStyle w:val="FootnoteReference"/>
          <w:rFonts w:asciiTheme="minorHAnsi" w:hAnsiTheme="minorHAnsi" w:cstheme="minorHAnsi"/>
          <w:sz w:val="20"/>
          <w:szCs w:val="20"/>
        </w:rPr>
        <w:footnoteRef/>
      </w:r>
      <w:r w:rsidRPr="003576BB">
        <w:rPr>
          <w:rFonts w:asciiTheme="minorHAnsi" w:hAnsiTheme="minorHAnsi" w:cstheme="minorHAnsi"/>
          <w:sz w:val="20"/>
          <w:szCs w:val="20"/>
        </w:rPr>
        <w:t xml:space="preserve"> </w:t>
      </w:r>
      <w:r w:rsidRPr="003576BB">
        <w:rPr>
          <w:rFonts w:asciiTheme="minorHAnsi" w:hAnsiTheme="minorHAnsi" w:cstheme="minorHAnsi"/>
          <w:color w:val="000000" w:themeColor="text1"/>
          <w:sz w:val="20"/>
          <w:szCs w:val="20"/>
          <w:bdr w:val="none" w:sz="0" w:space="0" w:color="auto" w:frame="1"/>
        </w:rPr>
        <w:t xml:space="preserve">Richard </w:t>
      </w:r>
      <w:proofErr w:type="spellStart"/>
      <w:r w:rsidRPr="003576BB">
        <w:rPr>
          <w:rFonts w:asciiTheme="minorHAnsi" w:hAnsiTheme="minorHAnsi" w:cstheme="minorHAnsi"/>
          <w:color w:val="000000" w:themeColor="text1"/>
          <w:sz w:val="20"/>
          <w:szCs w:val="20"/>
          <w:bdr w:val="none" w:sz="0" w:space="0" w:color="auto" w:frame="1"/>
        </w:rPr>
        <w:t>Hofstadtler</w:t>
      </w:r>
      <w:proofErr w:type="spellEnd"/>
      <w:r w:rsidRPr="003576BB">
        <w:rPr>
          <w:rFonts w:asciiTheme="minorHAnsi" w:hAnsiTheme="minorHAnsi" w:cstheme="minorHAnsi"/>
          <w:color w:val="000000" w:themeColor="text1"/>
          <w:sz w:val="20"/>
          <w:szCs w:val="20"/>
          <w:bdr w:val="none" w:sz="0" w:space="0" w:color="auto" w:frame="1"/>
        </w:rPr>
        <w:t xml:space="preserve">, </w:t>
      </w:r>
      <w:r w:rsidRPr="003576BB">
        <w:rPr>
          <w:rFonts w:asciiTheme="minorHAnsi" w:hAnsiTheme="minorHAnsi" w:cstheme="minorHAnsi"/>
          <w:i/>
          <w:iCs/>
          <w:color w:val="000000" w:themeColor="text1"/>
          <w:sz w:val="20"/>
          <w:szCs w:val="20"/>
          <w:shd w:val="clear" w:color="auto" w:fill="FFFFFF"/>
        </w:rPr>
        <w:t>The Paranoid Style in American Politics</w:t>
      </w:r>
      <w:r w:rsidRPr="003576BB">
        <w:rPr>
          <w:rFonts w:asciiTheme="minorHAnsi" w:hAnsiTheme="minorHAnsi" w:cstheme="minorHAnsi"/>
          <w:color w:val="000000" w:themeColor="text1"/>
          <w:sz w:val="20"/>
          <w:szCs w:val="20"/>
          <w:shd w:val="clear" w:color="auto" w:fill="FFFFFF"/>
        </w:rPr>
        <w:t>, Harper’s Magazine, November 1964</w:t>
      </w:r>
    </w:p>
  </w:footnote>
  <w:footnote w:id="93">
    <w:p w14:paraId="2E1EF269" w14:textId="77777777" w:rsidR="00451D6F" w:rsidRPr="003576BB" w:rsidRDefault="00451D6F" w:rsidP="00451D6F">
      <w:pPr>
        <w:jc w:val="both"/>
        <w:rPr>
          <w:rFonts w:asciiTheme="minorHAnsi" w:hAnsiTheme="minorHAnsi" w:cstheme="minorHAnsi"/>
          <w:sz w:val="20"/>
          <w:szCs w:val="20"/>
        </w:rPr>
      </w:pPr>
      <w:r w:rsidRPr="003576BB">
        <w:rPr>
          <w:rStyle w:val="FootnoteReference"/>
          <w:rFonts w:asciiTheme="minorHAnsi" w:hAnsiTheme="minorHAnsi" w:cstheme="minorHAnsi"/>
          <w:sz w:val="20"/>
          <w:szCs w:val="20"/>
        </w:rPr>
        <w:footnoteRef/>
      </w:r>
      <w:r w:rsidRPr="003576BB">
        <w:rPr>
          <w:rFonts w:asciiTheme="minorHAnsi" w:hAnsiTheme="minorHAnsi" w:cstheme="minorHAnsi"/>
          <w:sz w:val="20"/>
          <w:szCs w:val="20"/>
        </w:rPr>
        <w:t xml:space="preserve"> CBS Staff, </w:t>
      </w:r>
      <w:r w:rsidRPr="003576BB">
        <w:rPr>
          <w:rFonts w:asciiTheme="minorHAnsi" w:hAnsiTheme="minorHAnsi" w:cstheme="minorHAnsi"/>
          <w:i/>
          <w:iCs/>
          <w:sz w:val="20"/>
          <w:szCs w:val="20"/>
        </w:rPr>
        <w:t>McVeigh Vents On ‘60 Minutes’</w:t>
      </w:r>
      <w:r w:rsidRPr="003576BB">
        <w:rPr>
          <w:rFonts w:asciiTheme="minorHAnsi" w:hAnsiTheme="minorHAnsi" w:cstheme="minorHAnsi"/>
          <w:sz w:val="20"/>
          <w:szCs w:val="20"/>
        </w:rPr>
        <w:t xml:space="preserve">, CBS News, 13 March 2000 at </w:t>
      </w:r>
      <w:hyperlink r:id="rId18" w:history="1">
        <w:r w:rsidRPr="003576BB">
          <w:rPr>
            <w:rStyle w:val="Hyperlink"/>
            <w:rFonts w:asciiTheme="minorHAnsi" w:hAnsiTheme="minorHAnsi" w:cstheme="minorHAnsi"/>
            <w:sz w:val="20"/>
            <w:szCs w:val="20"/>
          </w:rPr>
          <w:t>https://www.cbsnews.com/news/mcveigh-vents-on-60-minutes/</w:t>
        </w:r>
      </w:hyperlink>
    </w:p>
  </w:footnote>
  <w:footnote w:id="94">
    <w:p w14:paraId="6B5D6760" w14:textId="77777777" w:rsidR="009A16BE" w:rsidRPr="00AB6B55" w:rsidRDefault="009A16BE" w:rsidP="009A16BE">
      <w:pPr>
        <w:pStyle w:val="FootnoteText"/>
        <w:rPr>
          <w:sz w:val="20"/>
          <w:szCs w:val="20"/>
        </w:rPr>
      </w:pPr>
      <w:r w:rsidRPr="00AB6B55">
        <w:rPr>
          <w:rStyle w:val="FootnoteReference"/>
          <w:sz w:val="20"/>
          <w:szCs w:val="20"/>
        </w:rPr>
        <w:footnoteRef/>
      </w:r>
      <w:r w:rsidRPr="00AB6B55">
        <w:rPr>
          <w:sz w:val="20"/>
          <w:szCs w:val="20"/>
        </w:rPr>
        <w:t xml:space="preserve"> Joanna Dawson and Samantha </w:t>
      </w:r>
      <w:proofErr w:type="spellStart"/>
      <w:r w:rsidRPr="00AB6B55">
        <w:rPr>
          <w:sz w:val="20"/>
          <w:szCs w:val="20"/>
        </w:rPr>
        <w:t>Godec</w:t>
      </w:r>
      <w:proofErr w:type="spellEnd"/>
      <w:r w:rsidRPr="00AB6B55">
        <w:rPr>
          <w:sz w:val="20"/>
          <w:szCs w:val="20"/>
        </w:rPr>
        <w:t xml:space="preserve">, </w:t>
      </w:r>
      <w:r w:rsidRPr="00AB6B55">
        <w:rPr>
          <w:i/>
          <w:iCs/>
          <w:sz w:val="20"/>
          <w:szCs w:val="20"/>
        </w:rPr>
        <w:t>Briefing Paper on Counter-Extremism Policy: An Overview</w:t>
      </w:r>
      <w:r w:rsidRPr="00AB6B55">
        <w:rPr>
          <w:sz w:val="20"/>
          <w:szCs w:val="20"/>
        </w:rPr>
        <w:t>, House of Commons Library, No. 7238, 23 July 2017, at 35.</w:t>
      </w:r>
    </w:p>
  </w:footnote>
  <w:footnote w:id="95">
    <w:p w14:paraId="27C25148" w14:textId="56159FC4" w:rsidR="004E155C" w:rsidRPr="00A36ECC" w:rsidRDefault="004E155C" w:rsidP="004E155C">
      <w:pPr>
        <w:pStyle w:val="FootnoteText"/>
        <w:rPr>
          <w:sz w:val="20"/>
          <w:szCs w:val="20"/>
        </w:rPr>
      </w:pPr>
      <w:r w:rsidRPr="00F312E2">
        <w:rPr>
          <w:rStyle w:val="FootnoteReference"/>
          <w:rFonts w:cstheme="minorHAnsi"/>
          <w:sz w:val="20"/>
          <w:szCs w:val="20"/>
        </w:rPr>
        <w:footnoteRef/>
      </w:r>
      <w:r w:rsidRPr="00F312E2">
        <w:rPr>
          <w:rFonts w:cstheme="minorHAnsi"/>
          <w:sz w:val="20"/>
          <w:szCs w:val="20"/>
        </w:rPr>
        <w:t xml:space="preserve"> Arun </w:t>
      </w:r>
      <w:proofErr w:type="spellStart"/>
      <w:r w:rsidRPr="00F312E2">
        <w:rPr>
          <w:rFonts w:cstheme="minorHAnsi"/>
          <w:sz w:val="20"/>
          <w:szCs w:val="20"/>
        </w:rPr>
        <w:t>Kundnani</w:t>
      </w:r>
      <w:proofErr w:type="spellEnd"/>
      <w:r w:rsidRPr="00F312E2">
        <w:rPr>
          <w:rFonts w:cstheme="minorHAnsi"/>
          <w:sz w:val="20"/>
          <w:szCs w:val="20"/>
        </w:rPr>
        <w:t xml:space="preserve">, </w:t>
      </w:r>
      <w:r w:rsidR="00EE560E">
        <w:rPr>
          <w:rFonts w:cstheme="minorHAnsi"/>
          <w:i/>
          <w:iCs/>
          <w:sz w:val="20"/>
          <w:szCs w:val="20"/>
        </w:rPr>
        <w:t xml:space="preserve">supra </w:t>
      </w:r>
      <w:r w:rsidR="00EE560E" w:rsidRPr="00EE560E">
        <w:rPr>
          <w:rFonts w:cstheme="minorHAnsi"/>
          <w:sz w:val="20"/>
          <w:szCs w:val="20"/>
        </w:rPr>
        <w:t>note 32,</w:t>
      </w:r>
      <w:r w:rsidRPr="00F312E2">
        <w:rPr>
          <w:rFonts w:cstheme="minorHAnsi"/>
          <w:sz w:val="20"/>
          <w:szCs w:val="20"/>
        </w:rPr>
        <w:t xml:space="preserve"> at 35</w:t>
      </w:r>
      <w:r>
        <w:rPr>
          <w:rFonts w:cstheme="minorHAnsi"/>
          <w:sz w:val="20"/>
          <w:szCs w:val="20"/>
        </w:rPr>
        <w:t>.</w:t>
      </w:r>
    </w:p>
  </w:footnote>
  <w:footnote w:id="96">
    <w:p w14:paraId="36603B7C" w14:textId="77777777" w:rsidR="00F04E83" w:rsidRPr="009E2CC2" w:rsidRDefault="00F04E83" w:rsidP="00F04E83">
      <w:pPr>
        <w:pStyle w:val="NoSpacing"/>
        <w:rPr>
          <w:rFonts w:asciiTheme="minorHAnsi" w:hAnsiTheme="minorHAnsi" w:cstheme="minorHAnsi"/>
          <w:color w:val="141414"/>
          <w:sz w:val="20"/>
          <w:szCs w:val="20"/>
          <w:bdr w:val="none" w:sz="0" w:space="0" w:color="auto" w:frame="1"/>
        </w:rPr>
      </w:pPr>
      <w:r w:rsidRPr="003576BB">
        <w:rPr>
          <w:rStyle w:val="FootnoteReference"/>
          <w:rFonts w:asciiTheme="minorHAnsi" w:hAnsiTheme="minorHAnsi" w:cstheme="minorHAnsi"/>
          <w:sz w:val="20"/>
          <w:szCs w:val="20"/>
        </w:rPr>
        <w:footnoteRef/>
      </w:r>
      <w:r w:rsidRPr="003576BB">
        <w:rPr>
          <w:rFonts w:asciiTheme="minorHAnsi" w:hAnsiTheme="minorHAnsi" w:cstheme="minorHAnsi"/>
          <w:sz w:val="20"/>
          <w:szCs w:val="20"/>
        </w:rPr>
        <w:t xml:space="preserve"> </w:t>
      </w:r>
      <w:r w:rsidRPr="003576BB">
        <w:rPr>
          <w:rFonts w:asciiTheme="minorHAnsi" w:hAnsiTheme="minorHAnsi" w:cstheme="minorHAnsi"/>
          <w:color w:val="141414"/>
          <w:sz w:val="20"/>
          <w:szCs w:val="20"/>
          <w:bdr w:val="none" w:sz="0" w:space="0" w:color="auto" w:frame="1"/>
        </w:rPr>
        <w:t xml:space="preserve">Vikram Dodd and Aubrey </w:t>
      </w:r>
      <w:proofErr w:type="spellStart"/>
      <w:r w:rsidRPr="003576BB">
        <w:rPr>
          <w:rFonts w:asciiTheme="minorHAnsi" w:hAnsiTheme="minorHAnsi" w:cstheme="minorHAnsi"/>
          <w:color w:val="141414"/>
          <w:sz w:val="20"/>
          <w:szCs w:val="20"/>
          <w:bdr w:val="none" w:sz="0" w:space="0" w:color="auto" w:frame="1"/>
        </w:rPr>
        <w:t>Allegretti</w:t>
      </w:r>
      <w:proofErr w:type="spellEnd"/>
      <w:r w:rsidRPr="003576BB">
        <w:rPr>
          <w:rFonts w:asciiTheme="minorHAnsi" w:hAnsiTheme="minorHAnsi" w:cstheme="minorHAnsi"/>
          <w:color w:val="141414"/>
          <w:sz w:val="20"/>
          <w:szCs w:val="20"/>
          <w:bdr w:val="none" w:sz="0" w:space="0" w:color="auto" w:frame="1"/>
        </w:rPr>
        <w:t xml:space="preserve">, </w:t>
      </w:r>
      <w:r w:rsidRPr="003576BB">
        <w:rPr>
          <w:rFonts w:asciiTheme="minorHAnsi" w:hAnsiTheme="minorHAnsi" w:cstheme="minorHAnsi"/>
          <w:i/>
          <w:iCs/>
          <w:sz w:val="20"/>
          <w:szCs w:val="20"/>
        </w:rPr>
        <w:t>Former counter-terrorism police chief attacks Rishi Sunak’s Prevent plans</w:t>
      </w:r>
      <w:r w:rsidRPr="003576BB">
        <w:rPr>
          <w:rFonts w:asciiTheme="minorHAnsi" w:hAnsiTheme="minorHAnsi" w:cstheme="minorHAnsi"/>
          <w:sz w:val="20"/>
          <w:szCs w:val="20"/>
        </w:rPr>
        <w:t xml:space="preserve">, </w:t>
      </w:r>
      <w:r w:rsidRPr="003576BB">
        <w:rPr>
          <w:rFonts w:asciiTheme="minorHAnsi" w:hAnsiTheme="minorHAnsi" w:cstheme="minorHAnsi"/>
          <w:color w:val="141414"/>
          <w:sz w:val="20"/>
          <w:szCs w:val="20"/>
          <w:bdr w:val="none" w:sz="0" w:space="0" w:color="auto" w:frame="1"/>
        </w:rPr>
        <w:t xml:space="preserve">The Guardian, 2 August 2022 at </w:t>
      </w:r>
      <w:hyperlink r:id="rId19" w:history="1">
        <w:r w:rsidRPr="003576BB">
          <w:rPr>
            <w:rStyle w:val="Hyperlink"/>
            <w:rFonts w:asciiTheme="minorHAnsi" w:hAnsiTheme="minorHAnsi" w:cstheme="minorHAnsi"/>
            <w:sz w:val="20"/>
            <w:szCs w:val="20"/>
            <w:bdr w:val="none" w:sz="0" w:space="0" w:color="auto" w:frame="1"/>
          </w:rPr>
          <w:t>www.theguardian.com/politics/2022/aug/02/former-counter-terrorism-police-chief-attacks-rishi-sunaks-prevent-plans</w:t>
        </w:r>
      </w:hyperlink>
    </w:p>
  </w:footnote>
  <w:footnote w:id="97">
    <w:p w14:paraId="23706091" w14:textId="3CB8C7F7" w:rsidR="00495DAE" w:rsidRPr="00495DAE" w:rsidRDefault="009A16BE">
      <w:pPr>
        <w:pStyle w:val="FootnoteText"/>
        <w:rPr>
          <w:sz w:val="20"/>
          <w:szCs w:val="20"/>
        </w:rPr>
      </w:pPr>
      <w:r w:rsidRPr="00495DAE">
        <w:rPr>
          <w:rStyle w:val="FootnoteReference"/>
          <w:sz w:val="20"/>
          <w:szCs w:val="20"/>
        </w:rPr>
        <w:footnoteRef/>
      </w:r>
      <w:r w:rsidRPr="00495DAE">
        <w:rPr>
          <w:sz w:val="20"/>
          <w:szCs w:val="20"/>
        </w:rPr>
        <w:t xml:space="preserve"> </w:t>
      </w:r>
      <w:r w:rsidR="00495DAE" w:rsidRPr="00495DAE">
        <w:rPr>
          <w:sz w:val="20"/>
          <w:szCs w:val="20"/>
        </w:rPr>
        <w:t xml:space="preserve">Angela Dewan, Trump is calling protestors </w:t>
      </w:r>
      <w:r w:rsidR="00495DAE">
        <w:rPr>
          <w:sz w:val="20"/>
          <w:szCs w:val="20"/>
        </w:rPr>
        <w:t xml:space="preserve">who disagree with </w:t>
      </w:r>
      <w:r w:rsidR="00495DAE" w:rsidRPr="00495DAE">
        <w:rPr>
          <w:sz w:val="20"/>
          <w:szCs w:val="20"/>
        </w:rPr>
        <w:t xml:space="preserve">him terrorists. That puts him in the </w:t>
      </w:r>
      <w:r w:rsidR="00495DAE">
        <w:rPr>
          <w:sz w:val="20"/>
          <w:szCs w:val="20"/>
        </w:rPr>
        <w:t xml:space="preserve">company of the </w:t>
      </w:r>
      <w:r w:rsidR="00495DAE" w:rsidRPr="00495DAE">
        <w:rPr>
          <w:sz w:val="20"/>
          <w:szCs w:val="20"/>
        </w:rPr>
        <w:t xml:space="preserve">world’s autocrats, CNN.com, 26 July 2020 at </w:t>
      </w:r>
      <w:hyperlink r:id="rId20" w:history="1">
        <w:r w:rsidR="00495DAE" w:rsidRPr="00495DAE">
          <w:rPr>
            <w:rStyle w:val="Hyperlink"/>
            <w:sz w:val="20"/>
            <w:szCs w:val="20"/>
          </w:rPr>
          <w:t>https://www.cnn.com/2020/07/25/politics/us-protests-trump-terrorists-intl/index.html</w:t>
        </w:r>
      </w:hyperlink>
    </w:p>
  </w:footnote>
  <w:footnote w:id="98">
    <w:p w14:paraId="32102177" w14:textId="73DE31AF" w:rsidR="00A57AC6" w:rsidRPr="003576BB" w:rsidRDefault="00A57AC6" w:rsidP="00A57AC6">
      <w:pPr>
        <w:pStyle w:val="FootnoteText"/>
        <w:rPr>
          <w:rFonts w:cstheme="minorHAnsi"/>
          <w:sz w:val="20"/>
          <w:szCs w:val="20"/>
        </w:rPr>
      </w:pPr>
      <w:r w:rsidRPr="003576BB">
        <w:rPr>
          <w:rStyle w:val="FootnoteReference"/>
          <w:rFonts w:cstheme="minorHAnsi"/>
          <w:sz w:val="20"/>
          <w:szCs w:val="20"/>
        </w:rPr>
        <w:footnoteRef/>
      </w:r>
      <w:r w:rsidRPr="003576BB">
        <w:rPr>
          <w:rFonts w:cstheme="minorHAnsi"/>
          <w:sz w:val="20"/>
          <w:szCs w:val="20"/>
        </w:rPr>
        <w:t xml:space="preserve"> Craig McCann, </w:t>
      </w:r>
      <w:r w:rsidR="00D76F7A">
        <w:rPr>
          <w:rFonts w:cstheme="minorHAnsi"/>
          <w:i/>
          <w:iCs/>
          <w:sz w:val="20"/>
          <w:szCs w:val="20"/>
        </w:rPr>
        <w:t xml:space="preserve">supra </w:t>
      </w:r>
      <w:r w:rsidR="00D76F7A" w:rsidRPr="00D76F7A">
        <w:rPr>
          <w:rFonts w:cstheme="minorHAnsi"/>
          <w:sz w:val="20"/>
          <w:szCs w:val="20"/>
        </w:rPr>
        <w:t xml:space="preserve">note </w:t>
      </w:r>
      <w:r w:rsidR="00D76F7A">
        <w:rPr>
          <w:rFonts w:cstheme="minorHAnsi"/>
          <w:sz w:val="20"/>
          <w:szCs w:val="20"/>
        </w:rPr>
        <w:t>84</w:t>
      </w:r>
      <w:r w:rsidR="00D76F7A" w:rsidRPr="00D76F7A">
        <w:rPr>
          <w:rFonts w:cstheme="minorHAnsi"/>
          <w:sz w:val="20"/>
          <w:szCs w:val="20"/>
        </w:rPr>
        <w:t>,</w:t>
      </w:r>
      <w:r w:rsidRPr="003576BB">
        <w:rPr>
          <w:rFonts w:cstheme="minorHAnsi"/>
          <w:sz w:val="20"/>
          <w:szCs w:val="20"/>
        </w:rPr>
        <w:t xml:space="preserve"> at 34.</w:t>
      </w:r>
    </w:p>
  </w:footnote>
  <w:footnote w:id="99">
    <w:p w14:paraId="3C365D11" w14:textId="6A8FDAE5" w:rsidR="002F33EB" w:rsidRPr="006500EA" w:rsidRDefault="002F33EB" w:rsidP="002F33EB">
      <w:pPr>
        <w:pStyle w:val="FootnoteText"/>
        <w:rPr>
          <w:sz w:val="20"/>
          <w:szCs w:val="20"/>
        </w:rPr>
      </w:pPr>
      <w:r w:rsidRPr="006500EA">
        <w:rPr>
          <w:rStyle w:val="FootnoteReference"/>
          <w:sz w:val="20"/>
          <w:szCs w:val="20"/>
        </w:rPr>
        <w:footnoteRef/>
      </w:r>
      <w:r w:rsidRPr="006500EA">
        <w:rPr>
          <w:sz w:val="20"/>
          <w:szCs w:val="20"/>
        </w:rPr>
        <w:t xml:space="preserve"> Arun </w:t>
      </w:r>
      <w:proofErr w:type="spellStart"/>
      <w:r w:rsidRPr="006500EA">
        <w:rPr>
          <w:sz w:val="20"/>
          <w:szCs w:val="20"/>
        </w:rPr>
        <w:t>Kundnani</w:t>
      </w:r>
      <w:proofErr w:type="spellEnd"/>
      <w:r w:rsidRPr="006500EA">
        <w:rPr>
          <w:sz w:val="20"/>
          <w:szCs w:val="20"/>
        </w:rPr>
        <w:t xml:space="preserve">, </w:t>
      </w:r>
      <w:r w:rsidR="00EE560E">
        <w:rPr>
          <w:rFonts w:cstheme="minorHAnsi"/>
          <w:i/>
          <w:iCs/>
          <w:sz w:val="20"/>
          <w:szCs w:val="20"/>
        </w:rPr>
        <w:t xml:space="preserve">supra </w:t>
      </w:r>
      <w:r w:rsidR="00EE560E" w:rsidRPr="00EE560E">
        <w:rPr>
          <w:rFonts w:cstheme="minorHAnsi"/>
          <w:sz w:val="20"/>
          <w:szCs w:val="20"/>
        </w:rPr>
        <w:t>note 32,</w:t>
      </w:r>
      <w:r w:rsidRPr="006500EA">
        <w:rPr>
          <w:sz w:val="20"/>
          <w:szCs w:val="20"/>
        </w:rPr>
        <w:t xml:space="preserve"> at </w:t>
      </w:r>
      <w:r>
        <w:rPr>
          <w:sz w:val="20"/>
          <w:szCs w:val="20"/>
        </w:rPr>
        <w:t>8</w:t>
      </w:r>
    </w:p>
  </w:footnote>
  <w:footnote w:id="100">
    <w:p w14:paraId="1619937D" w14:textId="068CC77D" w:rsidR="00F11CFE" w:rsidRPr="006500EA" w:rsidRDefault="00F11CFE" w:rsidP="00F11CFE">
      <w:pPr>
        <w:pStyle w:val="FootnoteText"/>
        <w:rPr>
          <w:sz w:val="20"/>
          <w:szCs w:val="20"/>
        </w:rPr>
      </w:pPr>
      <w:r w:rsidRPr="006500EA">
        <w:rPr>
          <w:rStyle w:val="FootnoteReference"/>
          <w:sz w:val="20"/>
          <w:szCs w:val="20"/>
        </w:rPr>
        <w:footnoteRef/>
      </w:r>
      <w:r w:rsidRPr="006500EA">
        <w:rPr>
          <w:sz w:val="20"/>
          <w:szCs w:val="20"/>
        </w:rPr>
        <w:t xml:space="preserve"> Arun </w:t>
      </w:r>
      <w:proofErr w:type="spellStart"/>
      <w:r w:rsidRPr="006500EA">
        <w:rPr>
          <w:sz w:val="20"/>
          <w:szCs w:val="20"/>
        </w:rPr>
        <w:t>Kundnani</w:t>
      </w:r>
      <w:proofErr w:type="spellEnd"/>
      <w:r w:rsidRPr="006500EA">
        <w:rPr>
          <w:sz w:val="20"/>
          <w:szCs w:val="20"/>
        </w:rPr>
        <w:t xml:space="preserve">, </w:t>
      </w:r>
      <w:r w:rsidR="00EE560E">
        <w:rPr>
          <w:rFonts w:cstheme="minorHAnsi"/>
          <w:i/>
          <w:iCs/>
          <w:sz w:val="20"/>
          <w:szCs w:val="20"/>
        </w:rPr>
        <w:t xml:space="preserve">supra </w:t>
      </w:r>
      <w:r w:rsidR="00EE560E" w:rsidRPr="00EE560E">
        <w:rPr>
          <w:rFonts w:cstheme="minorHAnsi"/>
          <w:sz w:val="20"/>
          <w:szCs w:val="20"/>
        </w:rPr>
        <w:t>note 32,</w:t>
      </w:r>
      <w:r w:rsidR="00EE560E">
        <w:rPr>
          <w:rFonts w:cstheme="minorHAnsi"/>
          <w:i/>
          <w:iCs/>
          <w:sz w:val="20"/>
          <w:szCs w:val="20"/>
        </w:rPr>
        <w:t xml:space="preserve"> </w:t>
      </w:r>
      <w:r w:rsidRPr="006500EA">
        <w:rPr>
          <w:sz w:val="20"/>
          <w:szCs w:val="20"/>
        </w:rPr>
        <w:t xml:space="preserve">at </w:t>
      </w:r>
      <w:r>
        <w:rPr>
          <w:sz w:val="20"/>
          <w:szCs w:val="20"/>
        </w:rPr>
        <w:t>8</w:t>
      </w:r>
    </w:p>
  </w:footnote>
  <w:footnote w:id="101">
    <w:p w14:paraId="6E1F34D6" w14:textId="77777777" w:rsidR="00A57AC6" w:rsidRPr="009E2CC2" w:rsidRDefault="00A57AC6" w:rsidP="00A57AC6">
      <w:pPr>
        <w:jc w:val="both"/>
        <w:rPr>
          <w:rFonts w:asciiTheme="minorHAnsi" w:hAnsiTheme="minorHAnsi" w:cstheme="minorHAnsi"/>
          <w:color w:val="000000" w:themeColor="text1"/>
          <w:sz w:val="20"/>
          <w:szCs w:val="20"/>
        </w:rPr>
      </w:pPr>
      <w:r w:rsidRPr="009E2CC2">
        <w:rPr>
          <w:rStyle w:val="FootnoteReference"/>
          <w:rFonts w:asciiTheme="minorHAnsi" w:hAnsiTheme="minorHAnsi" w:cstheme="minorHAnsi"/>
          <w:sz w:val="20"/>
          <w:szCs w:val="20"/>
        </w:rPr>
        <w:footnoteRef/>
      </w:r>
      <w:r w:rsidRPr="009E2CC2">
        <w:rPr>
          <w:rFonts w:asciiTheme="minorHAnsi" w:hAnsiTheme="minorHAnsi" w:cstheme="minorHAnsi"/>
          <w:sz w:val="20"/>
          <w:szCs w:val="20"/>
        </w:rPr>
        <w:t xml:space="preserve"> </w:t>
      </w:r>
      <w:r w:rsidRPr="009E2CC2">
        <w:rPr>
          <w:rFonts w:asciiTheme="minorHAnsi" w:hAnsiTheme="minorHAnsi" w:cstheme="minorHAnsi"/>
          <w:color w:val="000000" w:themeColor="text1"/>
          <w:sz w:val="20"/>
          <w:szCs w:val="20"/>
        </w:rPr>
        <w:t>Human Rights Council, Report of the Special Rapporteur on the promotion and protection of human rights and fundamental freedoms while countering terrorism, A/HRC/31/65, 22 February 2016, at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93FD3"/>
    <w:multiLevelType w:val="hybridMultilevel"/>
    <w:tmpl w:val="09B0E3A2"/>
    <w:lvl w:ilvl="0" w:tplc="113C9538">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C886DF4"/>
    <w:multiLevelType w:val="multilevel"/>
    <w:tmpl w:val="EEDA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42352B"/>
    <w:multiLevelType w:val="hybridMultilevel"/>
    <w:tmpl w:val="65D074A6"/>
    <w:lvl w:ilvl="0" w:tplc="70D64B8A">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5610608E"/>
    <w:multiLevelType w:val="multilevel"/>
    <w:tmpl w:val="EC283A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530178"/>
    <w:multiLevelType w:val="multilevel"/>
    <w:tmpl w:val="2AE4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663F2C"/>
    <w:multiLevelType w:val="hybridMultilevel"/>
    <w:tmpl w:val="075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946519">
    <w:abstractNumId w:val="5"/>
  </w:num>
  <w:num w:numId="2" w16cid:durableId="635912108">
    <w:abstractNumId w:val="3"/>
  </w:num>
  <w:num w:numId="3" w16cid:durableId="1286307364">
    <w:abstractNumId w:val="0"/>
  </w:num>
  <w:num w:numId="4" w16cid:durableId="1035617946">
    <w:abstractNumId w:val="2"/>
  </w:num>
  <w:num w:numId="5" w16cid:durableId="1224020618">
    <w:abstractNumId w:val="1"/>
  </w:num>
  <w:num w:numId="6" w16cid:durableId="1266308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FD"/>
    <w:rsid w:val="00000A2B"/>
    <w:rsid w:val="0000108D"/>
    <w:rsid w:val="000014C2"/>
    <w:rsid w:val="00001CAF"/>
    <w:rsid w:val="000030F9"/>
    <w:rsid w:val="00003C81"/>
    <w:rsid w:val="00004077"/>
    <w:rsid w:val="000041BF"/>
    <w:rsid w:val="00005C86"/>
    <w:rsid w:val="0001300D"/>
    <w:rsid w:val="0001549E"/>
    <w:rsid w:val="00023228"/>
    <w:rsid w:val="000267AA"/>
    <w:rsid w:val="000276C0"/>
    <w:rsid w:val="00030F60"/>
    <w:rsid w:val="00031543"/>
    <w:rsid w:val="00031E5E"/>
    <w:rsid w:val="00032DED"/>
    <w:rsid w:val="00034302"/>
    <w:rsid w:val="000351B8"/>
    <w:rsid w:val="0003789D"/>
    <w:rsid w:val="000401E3"/>
    <w:rsid w:val="00043AF2"/>
    <w:rsid w:val="00044408"/>
    <w:rsid w:val="0004571A"/>
    <w:rsid w:val="00050E70"/>
    <w:rsid w:val="000521E4"/>
    <w:rsid w:val="000522B6"/>
    <w:rsid w:val="0005327A"/>
    <w:rsid w:val="00063475"/>
    <w:rsid w:val="00063959"/>
    <w:rsid w:val="00072661"/>
    <w:rsid w:val="00072694"/>
    <w:rsid w:val="00072CDE"/>
    <w:rsid w:val="00076330"/>
    <w:rsid w:val="000768EF"/>
    <w:rsid w:val="00077DEB"/>
    <w:rsid w:val="00083718"/>
    <w:rsid w:val="00083A42"/>
    <w:rsid w:val="00087D47"/>
    <w:rsid w:val="00087FE5"/>
    <w:rsid w:val="00090383"/>
    <w:rsid w:val="00094A0C"/>
    <w:rsid w:val="000A36B5"/>
    <w:rsid w:val="000A4B9C"/>
    <w:rsid w:val="000A545A"/>
    <w:rsid w:val="000A6DC9"/>
    <w:rsid w:val="000A725B"/>
    <w:rsid w:val="000A7F05"/>
    <w:rsid w:val="000B1613"/>
    <w:rsid w:val="000B167B"/>
    <w:rsid w:val="000B3591"/>
    <w:rsid w:val="000B7AED"/>
    <w:rsid w:val="000C2002"/>
    <w:rsid w:val="000C2917"/>
    <w:rsid w:val="000C5F77"/>
    <w:rsid w:val="000C7D3A"/>
    <w:rsid w:val="000D2427"/>
    <w:rsid w:val="000D24C3"/>
    <w:rsid w:val="000D2F0B"/>
    <w:rsid w:val="000D53C5"/>
    <w:rsid w:val="000D58C7"/>
    <w:rsid w:val="000D5AB9"/>
    <w:rsid w:val="000D6A9B"/>
    <w:rsid w:val="000E0436"/>
    <w:rsid w:val="000E0E96"/>
    <w:rsid w:val="000E0F03"/>
    <w:rsid w:val="000E3BD0"/>
    <w:rsid w:val="000E3F75"/>
    <w:rsid w:val="000E63D9"/>
    <w:rsid w:val="000F45E7"/>
    <w:rsid w:val="000F48D9"/>
    <w:rsid w:val="001000D9"/>
    <w:rsid w:val="00100E45"/>
    <w:rsid w:val="00100FBC"/>
    <w:rsid w:val="00101346"/>
    <w:rsid w:val="00101CD5"/>
    <w:rsid w:val="00106994"/>
    <w:rsid w:val="00110389"/>
    <w:rsid w:val="00110FB1"/>
    <w:rsid w:val="00111436"/>
    <w:rsid w:val="00113686"/>
    <w:rsid w:val="00113C2E"/>
    <w:rsid w:val="00114200"/>
    <w:rsid w:val="00114BB5"/>
    <w:rsid w:val="00114CDB"/>
    <w:rsid w:val="00116026"/>
    <w:rsid w:val="00116B1D"/>
    <w:rsid w:val="00134370"/>
    <w:rsid w:val="00134B8B"/>
    <w:rsid w:val="0013521E"/>
    <w:rsid w:val="001372F8"/>
    <w:rsid w:val="001419F5"/>
    <w:rsid w:val="00146A57"/>
    <w:rsid w:val="0015015B"/>
    <w:rsid w:val="00152372"/>
    <w:rsid w:val="00153A0B"/>
    <w:rsid w:val="00153BD7"/>
    <w:rsid w:val="001605B6"/>
    <w:rsid w:val="00160CD9"/>
    <w:rsid w:val="00163A5D"/>
    <w:rsid w:val="00166B98"/>
    <w:rsid w:val="001719F0"/>
    <w:rsid w:val="001739A4"/>
    <w:rsid w:val="001743A4"/>
    <w:rsid w:val="00180335"/>
    <w:rsid w:val="001834BA"/>
    <w:rsid w:val="00186255"/>
    <w:rsid w:val="00186B36"/>
    <w:rsid w:val="00190F77"/>
    <w:rsid w:val="001912BC"/>
    <w:rsid w:val="00193710"/>
    <w:rsid w:val="001A1738"/>
    <w:rsid w:val="001A1CA3"/>
    <w:rsid w:val="001B3329"/>
    <w:rsid w:val="001B45F0"/>
    <w:rsid w:val="001B4DFE"/>
    <w:rsid w:val="001B5FAD"/>
    <w:rsid w:val="001B78C1"/>
    <w:rsid w:val="001C1A2C"/>
    <w:rsid w:val="001C3F61"/>
    <w:rsid w:val="001C417B"/>
    <w:rsid w:val="001C5913"/>
    <w:rsid w:val="001C5F1D"/>
    <w:rsid w:val="001C732F"/>
    <w:rsid w:val="001D2526"/>
    <w:rsid w:val="001D4746"/>
    <w:rsid w:val="001D5CC9"/>
    <w:rsid w:val="001D60E7"/>
    <w:rsid w:val="001D6529"/>
    <w:rsid w:val="001E0401"/>
    <w:rsid w:val="001E19FB"/>
    <w:rsid w:val="001E1DAB"/>
    <w:rsid w:val="001E20BB"/>
    <w:rsid w:val="001E27FE"/>
    <w:rsid w:val="001E3D48"/>
    <w:rsid w:val="001E6633"/>
    <w:rsid w:val="001F36F6"/>
    <w:rsid w:val="001F56A8"/>
    <w:rsid w:val="001F6FED"/>
    <w:rsid w:val="001F7CBF"/>
    <w:rsid w:val="001F7EF9"/>
    <w:rsid w:val="002031E8"/>
    <w:rsid w:val="00203E9C"/>
    <w:rsid w:val="00206A71"/>
    <w:rsid w:val="00212E63"/>
    <w:rsid w:val="002163F2"/>
    <w:rsid w:val="00217489"/>
    <w:rsid w:val="00220B3D"/>
    <w:rsid w:val="00230B17"/>
    <w:rsid w:val="00232FC2"/>
    <w:rsid w:val="00233CBD"/>
    <w:rsid w:val="0023589A"/>
    <w:rsid w:val="002439AF"/>
    <w:rsid w:val="002454D4"/>
    <w:rsid w:val="002467F2"/>
    <w:rsid w:val="0024760C"/>
    <w:rsid w:val="00247712"/>
    <w:rsid w:val="00252FBD"/>
    <w:rsid w:val="00253A8D"/>
    <w:rsid w:val="0025446A"/>
    <w:rsid w:val="0026001D"/>
    <w:rsid w:val="002612CC"/>
    <w:rsid w:val="0026549E"/>
    <w:rsid w:val="00266B34"/>
    <w:rsid w:val="00271A4A"/>
    <w:rsid w:val="0027301A"/>
    <w:rsid w:val="00273A8C"/>
    <w:rsid w:val="0027422C"/>
    <w:rsid w:val="0028606E"/>
    <w:rsid w:val="002866C4"/>
    <w:rsid w:val="0028783A"/>
    <w:rsid w:val="0028783F"/>
    <w:rsid w:val="00292808"/>
    <w:rsid w:val="002971AE"/>
    <w:rsid w:val="002A05DC"/>
    <w:rsid w:val="002A276D"/>
    <w:rsid w:val="002A3514"/>
    <w:rsid w:val="002A4F05"/>
    <w:rsid w:val="002A5C89"/>
    <w:rsid w:val="002A7549"/>
    <w:rsid w:val="002B0348"/>
    <w:rsid w:val="002B1F8D"/>
    <w:rsid w:val="002B5F65"/>
    <w:rsid w:val="002C1F45"/>
    <w:rsid w:val="002C2A8A"/>
    <w:rsid w:val="002C2E78"/>
    <w:rsid w:val="002C604B"/>
    <w:rsid w:val="002C6AFF"/>
    <w:rsid w:val="002D15A8"/>
    <w:rsid w:val="002D333B"/>
    <w:rsid w:val="002D3E62"/>
    <w:rsid w:val="002D4597"/>
    <w:rsid w:val="002D5FD9"/>
    <w:rsid w:val="002D68FC"/>
    <w:rsid w:val="002E01B4"/>
    <w:rsid w:val="002E16A9"/>
    <w:rsid w:val="002E72F4"/>
    <w:rsid w:val="002F33EB"/>
    <w:rsid w:val="002F3738"/>
    <w:rsid w:val="002F738C"/>
    <w:rsid w:val="00300F3A"/>
    <w:rsid w:val="00302411"/>
    <w:rsid w:val="00302F38"/>
    <w:rsid w:val="00302F69"/>
    <w:rsid w:val="003035FD"/>
    <w:rsid w:val="00305FF0"/>
    <w:rsid w:val="00306C0D"/>
    <w:rsid w:val="003108B3"/>
    <w:rsid w:val="003130DC"/>
    <w:rsid w:val="0031431C"/>
    <w:rsid w:val="00320D49"/>
    <w:rsid w:val="00321D19"/>
    <w:rsid w:val="00322A67"/>
    <w:rsid w:val="00324801"/>
    <w:rsid w:val="00325344"/>
    <w:rsid w:val="0032598F"/>
    <w:rsid w:val="003266AA"/>
    <w:rsid w:val="003272C8"/>
    <w:rsid w:val="00327987"/>
    <w:rsid w:val="00332A93"/>
    <w:rsid w:val="003345DF"/>
    <w:rsid w:val="003359ED"/>
    <w:rsid w:val="00336B09"/>
    <w:rsid w:val="003469B4"/>
    <w:rsid w:val="00347BBC"/>
    <w:rsid w:val="00354F23"/>
    <w:rsid w:val="003576BB"/>
    <w:rsid w:val="00360394"/>
    <w:rsid w:val="00361E55"/>
    <w:rsid w:val="00362722"/>
    <w:rsid w:val="00363846"/>
    <w:rsid w:val="00364AB7"/>
    <w:rsid w:val="0037024C"/>
    <w:rsid w:val="00373324"/>
    <w:rsid w:val="003745AD"/>
    <w:rsid w:val="00374D05"/>
    <w:rsid w:val="00375B9A"/>
    <w:rsid w:val="00382B04"/>
    <w:rsid w:val="00384106"/>
    <w:rsid w:val="00384B0C"/>
    <w:rsid w:val="00386250"/>
    <w:rsid w:val="00386729"/>
    <w:rsid w:val="00393CFD"/>
    <w:rsid w:val="00394155"/>
    <w:rsid w:val="003970CA"/>
    <w:rsid w:val="003972F7"/>
    <w:rsid w:val="003A2B0B"/>
    <w:rsid w:val="003A3143"/>
    <w:rsid w:val="003A3503"/>
    <w:rsid w:val="003A476E"/>
    <w:rsid w:val="003A7869"/>
    <w:rsid w:val="003B33C7"/>
    <w:rsid w:val="003B7ADF"/>
    <w:rsid w:val="003C1757"/>
    <w:rsid w:val="003C1C43"/>
    <w:rsid w:val="003C5718"/>
    <w:rsid w:val="003D3425"/>
    <w:rsid w:val="003D4153"/>
    <w:rsid w:val="003D523A"/>
    <w:rsid w:val="003D7170"/>
    <w:rsid w:val="003E0B8B"/>
    <w:rsid w:val="003E10B0"/>
    <w:rsid w:val="003E3650"/>
    <w:rsid w:val="003E4BBA"/>
    <w:rsid w:val="003F4DAB"/>
    <w:rsid w:val="003F5EDF"/>
    <w:rsid w:val="003F6CF3"/>
    <w:rsid w:val="003F7F0D"/>
    <w:rsid w:val="00402D90"/>
    <w:rsid w:val="004073FD"/>
    <w:rsid w:val="0041153A"/>
    <w:rsid w:val="00411B73"/>
    <w:rsid w:val="00412DD2"/>
    <w:rsid w:val="0041358F"/>
    <w:rsid w:val="004208CE"/>
    <w:rsid w:val="00421FF3"/>
    <w:rsid w:val="00424663"/>
    <w:rsid w:val="00430CA0"/>
    <w:rsid w:val="0043132F"/>
    <w:rsid w:val="004328E1"/>
    <w:rsid w:val="00433E93"/>
    <w:rsid w:val="00436390"/>
    <w:rsid w:val="00436CD0"/>
    <w:rsid w:val="00443A93"/>
    <w:rsid w:val="00444CA8"/>
    <w:rsid w:val="0044613C"/>
    <w:rsid w:val="00446534"/>
    <w:rsid w:val="00446BB4"/>
    <w:rsid w:val="00450B93"/>
    <w:rsid w:val="00451D6F"/>
    <w:rsid w:val="00453890"/>
    <w:rsid w:val="00453D4F"/>
    <w:rsid w:val="004608FF"/>
    <w:rsid w:val="00462CE8"/>
    <w:rsid w:val="004647A8"/>
    <w:rsid w:val="0046518E"/>
    <w:rsid w:val="00465AF2"/>
    <w:rsid w:val="0047383C"/>
    <w:rsid w:val="00475253"/>
    <w:rsid w:val="004776F4"/>
    <w:rsid w:val="00477950"/>
    <w:rsid w:val="0048203E"/>
    <w:rsid w:val="00482CF3"/>
    <w:rsid w:val="00490015"/>
    <w:rsid w:val="00490145"/>
    <w:rsid w:val="004914A7"/>
    <w:rsid w:val="00491DB2"/>
    <w:rsid w:val="00493D4C"/>
    <w:rsid w:val="00495DAE"/>
    <w:rsid w:val="004A0133"/>
    <w:rsid w:val="004A1B12"/>
    <w:rsid w:val="004A1FC1"/>
    <w:rsid w:val="004A75A3"/>
    <w:rsid w:val="004B0BA3"/>
    <w:rsid w:val="004B3BA7"/>
    <w:rsid w:val="004B452C"/>
    <w:rsid w:val="004B594E"/>
    <w:rsid w:val="004B624C"/>
    <w:rsid w:val="004B7CD4"/>
    <w:rsid w:val="004C2292"/>
    <w:rsid w:val="004C4635"/>
    <w:rsid w:val="004C4926"/>
    <w:rsid w:val="004C71EF"/>
    <w:rsid w:val="004C76BF"/>
    <w:rsid w:val="004D03F2"/>
    <w:rsid w:val="004D30DD"/>
    <w:rsid w:val="004D3EA5"/>
    <w:rsid w:val="004D4466"/>
    <w:rsid w:val="004D5A28"/>
    <w:rsid w:val="004D5F45"/>
    <w:rsid w:val="004D7870"/>
    <w:rsid w:val="004E025F"/>
    <w:rsid w:val="004E155C"/>
    <w:rsid w:val="004E1577"/>
    <w:rsid w:val="004E2C5A"/>
    <w:rsid w:val="004E3B85"/>
    <w:rsid w:val="004E53AC"/>
    <w:rsid w:val="004E6168"/>
    <w:rsid w:val="004F03E5"/>
    <w:rsid w:val="004F0C76"/>
    <w:rsid w:val="004F2868"/>
    <w:rsid w:val="004F5F23"/>
    <w:rsid w:val="004F71A7"/>
    <w:rsid w:val="005010B5"/>
    <w:rsid w:val="005015EA"/>
    <w:rsid w:val="00504EEC"/>
    <w:rsid w:val="0050571A"/>
    <w:rsid w:val="00506723"/>
    <w:rsid w:val="00507BB4"/>
    <w:rsid w:val="00512332"/>
    <w:rsid w:val="005235FA"/>
    <w:rsid w:val="0052450D"/>
    <w:rsid w:val="00524E19"/>
    <w:rsid w:val="0052612C"/>
    <w:rsid w:val="005279CE"/>
    <w:rsid w:val="00536B78"/>
    <w:rsid w:val="0054101C"/>
    <w:rsid w:val="00541C57"/>
    <w:rsid w:val="00542591"/>
    <w:rsid w:val="00543404"/>
    <w:rsid w:val="00543799"/>
    <w:rsid w:val="00544864"/>
    <w:rsid w:val="0055238F"/>
    <w:rsid w:val="00552710"/>
    <w:rsid w:val="00553492"/>
    <w:rsid w:val="00560ED3"/>
    <w:rsid w:val="00563672"/>
    <w:rsid w:val="00564D97"/>
    <w:rsid w:val="00565F03"/>
    <w:rsid w:val="005662CD"/>
    <w:rsid w:val="00573A42"/>
    <w:rsid w:val="00574A36"/>
    <w:rsid w:val="00574CC5"/>
    <w:rsid w:val="00586F5C"/>
    <w:rsid w:val="00595D09"/>
    <w:rsid w:val="00596C93"/>
    <w:rsid w:val="005A084D"/>
    <w:rsid w:val="005A2022"/>
    <w:rsid w:val="005A3540"/>
    <w:rsid w:val="005A50A8"/>
    <w:rsid w:val="005A6A8D"/>
    <w:rsid w:val="005A7FA7"/>
    <w:rsid w:val="005B003D"/>
    <w:rsid w:val="005B08C9"/>
    <w:rsid w:val="005B33A1"/>
    <w:rsid w:val="005B6EC4"/>
    <w:rsid w:val="005C1235"/>
    <w:rsid w:val="005C1E19"/>
    <w:rsid w:val="005C4B6B"/>
    <w:rsid w:val="005D3F03"/>
    <w:rsid w:val="005E0CD9"/>
    <w:rsid w:val="005E1629"/>
    <w:rsid w:val="005E28FB"/>
    <w:rsid w:val="005E4BAE"/>
    <w:rsid w:val="005E5ECB"/>
    <w:rsid w:val="005E682E"/>
    <w:rsid w:val="005F0234"/>
    <w:rsid w:val="005F2EC4"/>
    <w:rsid w:val="005F479D"/>
    <w:rsid w:val="005F7DFF"/>
    <w:rsid w:val="005F7E20"/>
    <w:rsid w:val="0060209B"/>
    <w:rsid w:val="0060517F"/>
    <w:rsid w:val="00614336"/>
    <w:rsid w:val="0062692D"/>
    <w:rsid w:val="00627563"/>
    <w:rsid w:val="00630CA2"/>
    <w:rsid w:val="00632729"/>
    <w:rsid w:val="0063563D"/>
    <w:rsid w:val="00640D77"/>
    <w:rsid w:val="006412C7"/>
    <w:rsid w:val="00644766"/>
    <w:rsid w:val="00644872"/>
    <w:rsid w:val="00646616"/>
    <w:rsid w:val="006500EA"/>
    <w:rsid w:val="006503BA"/>
    <w:rsid w:val="00651062"/>
    <w:rsid w:val="006515BD"/>
    <w:rsid w:val="0065306E"/>
    <w:rsid w:val="00653F5E"/>
    <w:rsid w:val="00655A93"/>
    <w:rsid w:val="00657E32"/>
    <w:rsid w:val="006613F9"/>
    <w:rsid w:val="00670321"/>
    <w:rsid w:val="00672AA0"/>
    <w:rsid w:val="00675556"/>
    <w:rsid w:val="0068424C"/>
    <w:rsid w:val="006866E9"/>
    <w:rsid w:val="00687400"/>
    <w:rsid w:val="006930CD"/>
    <w:rsid w:val="00694C04"/>
    <w:rsid w:val="00697371"/>
    <w:rsid w:val="006A0040"/>
    <w:rsid w:val="006A237D"/>
    <w:rsid w:val="006A2A28"/>
    <w:rsid w:val="006A370A"/>
    <w:rsid w:val="006A4BCD"/>
    <w:rsid w:val="006A6BC4"/>
    <w:rsid w:val="006A6D7B"/>
    <w:rsid w:val="006A7003"/>
    <w:rsid w:val="006B2412"/>
    <w:rsid w:val="006B2A35"/>
    <w:rsid w:val="006B3B27"/>
    <w:rsid w:val="006C2525"/>
    <w:rsid w:val="006C4434"/>
    <w:rsid w:val="006C7BF6"/>
    <w:rsid w:val="006D088B"/>
    <w:rsid w:val="006D5292"/>
    <w:rsid w:val="006D7281"/>
    <w:rsid w:val="006E329B"/>
    <w:rsid w:val="006E428F"/>
    <w:rsid w:val="006F2672"/>
    <w:rsid w:val="006F4F24"/>
    <w:rsid w:val="006F528D"/>
    <w:rsid w:val="006F7DBD"/>
    <w:rsid w:val="00700E23"/>
    <w:rsid w:val="00710C51"/>
    <w:rsid w:val="00712D61"/>
    <w:rsid w:val="00716D4F"/>
    <w:rsid w:val="00722EAA"/>
    <w:rsid w:val="0072474A"/>
    <w:rsid w:val="00725F81"/>
    <w:rsid w:val="00726E73"/>
    <w:rsid w:val="00730309"/>
    <w:rsid w:val="00730D72"/>
    <w:rsid w:val="0073412D"/>
    <w:rsid w:val="00737320"/>
    <w:rsid w:val="00737565"/>
    <w:rsid w:val="00744A13"/>
    <w:rsid w:val="00744D18"/>
    <w:rsid w:val="00746082"/>
    <w:rsid w:val="007472BD"/>
    <w:rsid w:val="007474F9"/>
    <w:rsid w:val="0075513B"/>
    <w:rsid w:val="0075538B"/>
    <w:rsid w:val="00756531"/>
    <w:rsid w:val="00757C4F"/>
    <w:rsid w:val="0076054D"/>
    <w:rsid w:val="00760873"/>
    <w:rsid w:val="0076247C"/>
    <w:rsid w:val="0076270A"/>
    <w:rsid w:val="00762BDF"/>
    <w:rsid w:val="00763B3A"/>
    <w:rsid w:val="00764080"/>
    <w:rsid w:val="0076494D"/>
    <w:rsid w:val="00765920"/>
    <w:rsid w:val="007662C1"/>
    <w:rsid w:val="007723F1"/>
    <w:rsid w:val="00774F43"/>
    <w:rsid w:val="00777DD9"/>
    <w:rsid w:val="00785ABD"/>
    <w:rsid w:val="00791314"/>
    <w:rsid w:val="00792713"/>
    <w:rsid w:val="007928A8"/>
    <w:rsid w:val="00793DC2"/>
    <w:rsid w:val="00794D65"/>
    <w:rsid w:val="007A0A3C"/>
    <w:rsid w:val="007A10D9"/>
    <w:rsid w:val="007A1802"/>
    <w:rsid w:val="007A22F9"/>
    <w:rsid w:val="007A373F"/>
    <w:rsid w:val="007A6A3D"/>
    <w:rsid w:val="007B0DCD"/>
    <w:rsid w:val="007B5E6C"/>
    <w:rsid w:val="007B73F3"/>
    <w:rsid w:val="007B7C85"/>
    <w:rsid w:val="007C1002"/>
    <w:rsid w:val="007C1DBB"/>
    <w:rsid w:val="007C3CC5"/>
    <w:rsid w:val="007C7199"/>
    <w:rsid w:val="007D5A2F"/>
    <w:rsid w:val="007E2152"/>
    <w:rsid w:val="007E3195"/>
    <w:rsid w:val="007E3843"/>
    <w:rsid w:val="007E5C5D"/>
    <w:rsid w:val="007E75BD"/>
    <w:rsid w:val="007F056E"/>
    <w:rsid w:val="007F3FDD"/>
    <w:rsid w:val="007F4CD9"/>
    <w:rsid w:val="007F5CA6"/>
    <w:rsid w:val="00800480"/>
    <w:rsid w:val="00800BAB"/>
    <w:rsid w:val="00803DF6"/>
    <w:rsid w:val="00804233"/>
    <w:rsid w:val="008056CD"/>
    <w:rsid w:val="00813032"/>
    <w:rsid w:val="0081397F"/>
    <w:rsid w:val="00814444"/>
    <w:rsid w:val="00817217"/>
    <w:rsid w:val="008205DD"/>
    <w:rsid w:val="00820807"/>
    <w:rsid w:val="0082162B"/>
    <w:rsid w:val="00822BB8"/>
    <w:rsid w:val="008243AE"/>
    <w:rsid w:val="00826772"/>
    <w:rsid w:val="00827149"/>
    <w:rsid w:val="008312A5"/>
    <w:rsid w:val="008325F8"/>
    <w:rsid w:val="008330F1"/>
    <w:rsid w:val="008331C4"/>
    <w:rsid w:val="008332F4"/>
    <w:rsid w:val="008336F4"/>
    <w:rsid w:val="0083701E"/>
    <w:rsid w:val="00841AB5"/>
    <w:rsid w:val="00843EB6"/>
    <w:rsid w:val="00851D89"/>
    <w:rsid w:val="0085309D"/>
    <w:rsid w:val="00856BB4"/>
    <w:rsid w:val="008619BE"/>
    <w:rsid w:val="00861BD2"/>
    <w:rsid w:val="0086374F"/>
    <w:rsid w:val="008700D0"/>
    <w:rsid w:val="008709CF"/>
    <w:rsid w:val="00874819"/>
    <w:rsid w:val="00875526"/>
    <w:rsid w:val="00881017"/>
    <w:rsid w:val="00882F5F"/>
    <w:rsid w:val="00885AB4"/>
    <w:rsid w:val="00886172"/>
    <w:rsid w:val="008867F4"/>
    <w:rsid w:val="00887310"/>
    <w:rsid w:val="008915A9"/>
    <w:rsid w:val="00895E16"/>
    <w:rsid w:val="0089679C"/>
    <w:rsid w:val="008B0BD7"/>
    <w:rsid w:val="008B0CEE"/>
    <w:rsid w:val="008B1E7B"/>
    <w:rsid w:val="008C138A"/>
    <w:rsid w:val="008C13DD"/>
    <w:rsid w:val="008C65A1"/>
    <w:rsid w:val="008D19CA"/>
    <w:rsid w:val="008D3DA3"/>
    <w:rsid w:val="008D40AA"/>
    <w:rsid w:val="008D70F6"/>
    <w:rsid w:val="008D79B1"/>
    <w:rsid w:val="008E3349"/>
    <w:rsid w:val="008E4DE3"/>
    <w:rsid w:val="008E799E"/>
    <w:rsid w:val="008F3CC7"/>
    <w:rsid w:val="008F4907"/>
    <w:rsid w:val="008F6C5D"/>
    <w:rsid w:val="008F7C9D"/>
    <w:rsid w:val="0090049C"/>
    <w:rsid w:val="00900A87"/>
    <w:rsid w:val="00902C82"/>
    <w:rsid w:val="00911633"/>
    <w:rsid w:val="00915F0C"/>
    <w:rsid w:val="009259F0"/>
    <w:rsid w:val="00926CDB"/>
    <w:rsid w:val="00926EEC"/>
    <w:rsid w:val="00930FD8"/>
    <w:rsid w:val="00931D76"/>
    <w:rsid w:val="0093233C"/>
    <w:rsid w:val="00935ED3"/>
    <w:rsid w:val="009368A4"/>
    <w:rsid w:val="00936B07"/>
    <w:rsid w:val="00936E1A"/>
    <w:rsid w:val="009421C4"/>
    <w:rsid w:val="009444B1"/>
    <w:rsid w:val="009448C9"/>
    <w:rsid w:val="00950374"/>
    <w:rsid w:val="00953DB9"/>
    <w:rsid w:val="009554AA"/>
    <w:rsid w:val="00964CA6"/>
    <w:rsid w:val="00964E26"/>
    <w:rsid w:val="009651D8"/>
    <w:rsid w:val="00970FAA"/>
    <w:rsid w:val="00974166"/>
    <w:rsid w:val="009772A7"/>
    <w:rsid w:val="00982EC0"/>
    <w:rsid w:val="009856E1"/>
    <w:rsid w:val="009858F7"/>
    <w:rsid w:val="0098704F"/>
    <w:rsid w:val="00990C4F"/>
    <w:rsid w:val="00996290"/>
    <w:rsid w:val="00996A74"/>
    <w:rsid w:val="009A0105"/>
    <w:rsid w:val="009A16BE"/>
    <w:rsid w:val="009A20B8"/>
    <w:rsid w:val="009A26A0"/>
    <w:rsid w:val="009A42A6"/>
    <w:rsid w:val="009A4693"/>
    <w:rsid w:val="009A4A5F"/>
    <w:rsid w:val="009A596F"/>
    <w:rsid w:val="009B04CA"/>
    <w:rsid w:val="009B09A2"/>
    <w:rsid w:val="009B46FC"/>
    <w:rsid w:val="009B55B2"/>
    <w:rsid w:val="009B6171"/>
    <w:rsid w:val="009B7BA9"/>
    <w:rsid w:val="009C12B3"/>
    <w:rsid w:val="009C3309"/>
    <w:rsid w:val="009C4013"/>
    <w:rsid w:val="009D39AD"/>
    <w:rsid w:val="009D4B36"/>
    <w:rsid w:val="009D4CFD"/>
    <w:rsid w:val="009E2CC2"/>
    <w:rsid w:val="009F026C"/>
    <w:rsid w:val="009F1BFF"/>
    <w:rsid w:val="009F1F2E"/>
    <w:rsid w:val="009F2AAC"/>
    <w:rsid w:val="009F2AC1"/>
    <w:rsid w:val="009F4775"/>
    <w:rsid w:val="009F61D8"/>
    <w:rsid w:val="009F7CD1"/>
    <w:rsid w:val="00A00E80"/>
    <w:rsid w:val="00A0370D"/>
    <w:rsid w:val="00A10A32"/>
    <w:rsid w:val="00A15A0C"/>
    <w:rsid w:val="00A15AB3"/>
    <w:rsid w:val="00A172F5"/>
    <w:rsid w:val="00A21E5F"/>
    <w:rsid w:val="00A22373"/>
    <w:rsid w:val="00A22F13"/>
    <w:rsid w:val="00A240B4"/>
    <w:rsid w:val="00A25970"/>
    <w:rsid w:val="00A33C08"/>
    <w:rsid w:val="00A36ECC"/>
    <w:rsid w:val="00A41299"/>
    <w:rsid w:val="00A41F1D"/>
    <w:rsid w:val="00A4443F"/>
    <w:rsid w:val="00A44F62"/>
    <w:rsid w:val="00A45D82"/>
    <w:rsid w:val="00A4615F"/>
    <w:rsid w:val="00A46488"/>
    <w:rsid w:val="00A52D78"/>
    <w:rsid w:val="00A57AC6"/>
    <w:rsid w:val="00A57DC2"/>
    <w:rsid w:val="00A60209"/>
    <w:rsid w:val="00A60C53"/>
    <w:rsid w:val="00A61907"/>
    <w:rsid w:val="00A643A5"/>
    <w:rsid w:val="00A66383"/>
    <w:rsid w:val="00A67594"/>
    <w:rsid w:val="00A71159"/>
    <w:rsid w:val="00A7318A"/>
    <w:rsid w:val="00A751D7"/>
    <w:rsid w:val="00A7566E"/>
    <w:rsid w:val="00A75C5D"/>
    <w:rsid w:val="00A76843"/>
    <w:rsid w:val="00A76DA8"/>
    <w:rsid w:val="00A80016"/>
    <w:rsid w:val="00A8562A"/>
    <w:rsid w:val="00A95D95"/>
    <w:rsid w:val="00AA048E"/>
    <w:rsid w:val="00AA1127"/>
    <w:rsid w:val="00AA29B7"/>
    <w:rsid w:val="00AA3455"/>
    <w:rsid w:val="00AB0AA2"/>
    <w:rsid w:val="00AB369C"/>
    <w:rsid w:val="00AB47AA"/>
    <w:rsid w:val="00AB6B55"/>
    <w:rsid w:val="00AC2BF3"/>
    <w:rsid w:val="00AC2D66"/>
    <w:rsid w:val="00AC3434"/>
    <w:rsid w:val="00AC7E23"/>
    <w:rsid w:val="00AD0E6A"/>
    <w:rsid w:val="00AD5E40"/>
    <w:rsid w:val="00AD6059"/>
    <w:rsid w:val="00AD7D75"/>
    <w:rsid w:val="00AE070A"/>
    <w:rsid w:val="00AE0960"/>
    <w:rsid w:val="00AE2E85"/>
    <w:rsid w:val="00AF4FF8"/>
    <w:rsid w:val="00AF5246"/>
    <w:rsid w:val="00B01039"/>
    <w:rsid w:val="00B0198F"/>
    <w:rsid w:val="00B01F3F"/>
    <w:rsid w:val="00B02439"/>
    <w:rsid w:val="00B04390"/>
    <w:rsid w:val="00B06710"/>
    <w:rsid w:val="00B1218C"/>
    <w:rsid w:val="00B12F4E"/>
    <w:rsid w:val="00B1379B"/>
    <w:rsid w:val="00B159F5"/>
    <w:rsid w:val="00B17369"/>
    <w:rsid w:val="00B20B22"/>
    <w:rsid w:val="00B214DE"/>
    <w:rsid w:val="00B22060"/>
    <w:rsid w:val="00B241E1"/>
    <w:rsid w:val="00B27D8C"/>
    <w:rsid w:val="00B31F0D"/>
    <w:rsid w:val="00B3428C"/>
    <w:rsid w:val="00B34600"/>
    <w:rsid w:val="00B40A5C"/>
    <w:rsid w:val="00B41556"/>
    <w:rsid w:val="00B43B43"/>
    <w:rsid w:val="00B44AD1"/>
    <w:rsid w:val="00B50955"/>
    <w:rsid w:val="00B522D2"/>
    <w:rsid w:val="00B52DBA"/>
    <w:rsid w:val="00B537BF"/>
    <w:rsid w:val="00B61448"/>
    <w:rsid w:val="00B64BB4"/>
    <w:rsid w:val="00B66F53"/>
    <w:rsid w:val="00B73D61"/>
    <w:rsid w:val="00B73FE8"/>
    <w:rsid w:val="00B744A4"/>
    <w:rsid w:val="00B7532C"/>
    <w:rsid w:val="00B82C01"/>
    <w:rsid w:val="00B9217F"/>
    <w:rsid w:val="00B927DB"/>
    <w:rsid w:val="00B92C4D"/>
    <w:rsid w:val="00B9483E"/>
    <w:rsid w:val="00BA0C88"/>
    <w:rsid w:val="00BA0D24"/>
    <w:rsid w:val="00BA3CF7"/>
    <w:rsid w:val="00BA6E22"/>
    <w:rsid w:val="00BA70B4"/>
    <w:rsid w:val="00BB1744"/>
    <w:rsid w:val="00BB22E9"/>
    <w:rsid w:val="00BB2374"/>
    <w:rsid w:val="00BB2383"/>
    <w:rsid w:val="00BB311B"/>
    <w:rsid w:val="00BB4605"/>
    <w:rsid w:val="00BC2831"/>
    <w:rsid w:val="00BD0F32"/>
    <w:rsid w:val="00BE3480"/>
    <w:rsid w:val="00BE6A59"/>
    <w:rsid w:val="00BF4823"/>
    <w:rsid w:val="00BF6165"/>
    <w:rsid w:val="00C01266"/>
    <w:rsid w:val="00C02385"/>
    <w:rsid w:val="00C0295F"/>
    <w:rsid w:val="00C054A8"/>
    <w:rsid w:val="00C21858"/>
    <w:rsid w:val="00C2211B"/>
    <w:rsid w:val="00C25D29"/>
    <w:rsid w:val="00C27B22"/>
    <w:rsid w:val="00C32A71"/>
    <w:rsid w:val="00C37804"/>
    <w:rsid w:val="00C41709"/>
    <w:rsid w:val="00C43CBB"/>
    <w:rsid w:val="00C45F9F"/>
    <w:rsid w:val="00C47600"/>
    <w:rsid w:val="00C51192"/>
    <w:rsid w:val="00C52A04"/>
    <w:rsid w:val="00C54155"/>
    <w:rsid w:val="00C65DA3"/>
    <w:rsid w:val="00C67527"/>
    <w:rsid w:val="00C73F10"/>
    <w:rsid w:val="00C74779"/>
    <w:rsid w:val="00C80720"/>
    <w:rsid w:val="00C8305A"/>
    <w:rsid w:val="00C83A46"/>
    <w:rsid w:val="00C872E4"/>
    <w:rsid w:val="00C954F6"/>
    <w:rsid w:val="00CA005E"/>
    <w:rsid w:val="00CA05C3"/>
    <w:rsid w:val="00CA0C94"/>
    <w:rsid w:val="00CA10CF"/>
    <w:rsid w:val="00CA5713"/>
    <w:rsid w:val="00CB046B"/>
    <w:rsid w:val="00CB5477"/>
    <w:rsid w:val="00CB5AE8"/>
    <w:rsid w:val="00CB6804"/>
    <w:rsid w:val="00CB779A"/>
    <w:rsid w:val="00CC04ED"/>
    <w:rsid w:val="00CC0F48"/>
    <w:rsid w:val="00CC41C1"/>
    <w:rsid w:val="00CC41FD"/>
    <w:rsid w:val="00CC714C"/>
    <w:rsid w:val="00CD4F6C"/>
    <w:rsid w:val="00CD5D0E"/>
    <w:rsid w:val="00CE052C"/>
    <w:rsid w:val="00CE0FC5"/>
    <w:rsid w:val="00CE1A0F"/>
    <w:rsid w:val="00CE2391"/>
    <w:rsid w:val="00CF0C4A"/>
    <w:rsid w:val="00CF5F3D"/>
    <w:rsid w:val="00CF6B8F"/>
    <w:rsid w:val="00D033B2"/>
    <w:rsid w:val="00D05556"/>
    <w:rsid w:val="00D111E9"/>
    <w:rsid w:val="00D119D0"/>
    <w:rsid w:val="00D138BB"/>
    <w:rsid w:val="00D14C6B"/>
    <w:rsid w:val="00D15510"/>
    <w:rsid w:val="00D1658D"/>
    <w:rsid w:val="00D2385D"/>
    <w:rsid w:val="00D24A12"/>
    <w:rsid w:val="00D25B05"/>
    <w:rsid w:val="00D266F7"/>
    <w:rsid w:val="00D27D20"/>
    <w:rsid w:val="00D318CB"/>
    <w:rsid w:val="00D36226"/>
    <w:rsid w:val="00D40B2C"/>
    <w:rsid w:val="00D4396F"/>
    <w:rsid w:val="00D440AE"/>
    <w:rsid w:val="00D45F09"/>
    <w:rsid w:val="00D52111"/>
    <w:rsid w:val="00D522C5"/>
    <w:rsid w:val="00D53541"/>
    <w:rsid w:val="00D54FB0"/>
    <w:rsid w:val="00D57EE6"/>
    <w:rsid w:val="00D634C5"/>
    <w:rsid w:val="00D63B60"/>
    <w:rsid w:val="00D64E32"/>
    <w:rsid w:val="00D71373"/>
    <w:rsid w:val="00D742F5"/>
    <w:rsid w:val="00D75E4B"/>
    <w:rsid w:val="00D76F7A"/>
    <w:rsid w:val="00D77997"/>
    <w:rsid w:val="00D80FCC"/>
    <w:rsid w:val="00D82C0A"/>
    <w:rsid w:val="00D861A6"/>
    <w:rsid w:val="00D92F74"/>
    <w:rsid w:val="00D931DA"/>
    <w:rsid w:val="00D950E9"/>
    <w:rsid w:val="00D956F1"/>
    <w:rsid w:val="00DA0945"/>
    <w:rsid w:val="00DA0D5C"/>
    <w:rsid w:val="00DA2ED2"/>
    <w:rsid w:val="00DA3D2C"/>
    <w:rsid w:val="00DA477B"/>
    <w:rsid w:val="00DA49D0"/>
    <w:rsid w:val="00DA5387"/>
    <w:rsid w:val="00DB035C"/>
    <w:rsid w:val="00DB0852"/>
    <w:rsid w:val="00DB3680"/>
    <w:rsid w:val="00DC0066"/>
    <w:rsid w:val="00DC39D9"/>
    <w:rsid w:val="00DC3D08"/>
    <w:rsid w:val="00DC4261"/>
    <w:rsid w:val="00DC737E"/>
    <w:rsid w:val="00DD04FE"/>
    <w:rsid w:val="00DD517C"/>
    <w:rsid w:val="00DE45FA"/>
    <w:rsid w:val="00DE5835"/>
    <w:rsid w:val="00DF0AF0"/>
    <w:rsid w:val="00DF1560"/>
    <w:rsid w:val="00DF1B73"/>
    <w:rsid w:val="00DF2298"/>
    <w:rsid w:val="00DF510F"/>
    <w:rsid w:val="00E025A4"/>
    <w:rsid w:val="00E0480E"/>
    <w:rsid w:val="00E049B2"/>
    <w:rsid w:val="00E056A4"/>
    <w:rsid w:val="00E105CD"/>
    <w:rsid w:val="00E1267B"/>
    <w:rsid w:val="00E13AB6"/>
    <w:rsid w:val="00E14A59"/>
    <w:rsid w:val="00E17A79"/>
    <w:rsid w:val="00E17AB0"/>
    <w:rsid w:val="00E221B0"/>
    <w:rsid w:val="00E23CE2"/>
    <w:rsid w:val="00E24219"/>
    <w:rsid w:val="00E249F8"/>
    <w:rsid w:val="00E311C0"/>
    <w:rsid w:val="00E32002"/>
    <w:rsid w:val="00E32660"/>
    <w:rsid w:val="00E35578"/>
    <w:rsid w:val="00E36A89"/>
    <w:rsid w:val="00E412C2"/>
    <w:rsid w:val="00E477DD"/>
    <w:rsid w:val="00E50D4C"/>
    <w:rsid w:val="00E5109B"/>
    <w:rsid w:val="00E5437D"/>
    <w:rsid w:val="00E54D5C"/>
    <w:rsid w:val="00E56AEB"/>
    <w:rsid w:val="00E57B07"/>
    <w:rsid w:val="00E57E20"/>
    <w:rsid w:val="00E61270"/>
    <w:rsid w:val="00E61D43"/>
    <w:rsid w:val="00E62046"/>
    <w:rsid w:val="00E64683"/>
    <w:rsid w:val="00E6527D"/>
    <w:rsid w:val="00E652B7"/>
    <w:rsid w:val="00E676B3"/>
    <w:rsid w:val="00E726D5"/>
    <w:rsid w:val="00E74B19"/>
    <w:rsid w:val="00E7742F"/>
    <w:rsid w:val="00E80B09"/>
    <w:rsid w:val="00E817F8"/>
    <w:rsid w:val="00E821CD"/>
    <w:rsid w:val="00E84686"/>
    <w:rsid w:val="00E87CBC"/>
    <w:rsid w:val="00E91C6D"/>
    <w:rsid w:val="00E9253F"/>
    <w:rsid w:val="00E932CA"/>
    <w:rsid w:val="00E97910"/>
    <w:rsid w:val="00EA05D6"/>
    <w:rsid w:val="00EA33A0"/>
    <w:rsid w:val="00EA4F21"/>
    <w:rsid w:val="00EA6867"/>
    <w:rsid w:val="00EA72DD"/>
    <w:rsid w:val="00EB0548"/>
    <w:rsid w:val="00EB13C8"/>
    <w:rsid w:val="00EB43B2"/>
    <w:rsid w:val="00EC1C97"/>
    <w:rsid w:val="00EC1FB9"/>
    <w:rsid w:val="00EC29FF"/>
    <w:rsid w:val="00EC61D8"/>
    <w:rsid w:val="00EC79E0"/>
    <w:rsid w:val="00ED007D"/>
    <w:rsid w:val="00ED092C"/>
    <w:rsid w:val="00ED0E08"/>
    <w:rsid w:val="00ED442A"/>
    <w:rsid w:val="00ED449C"/>
    <w:rsid w:val="00ED5AAC"/>
    <w:rsid w:val="00ED5C82"/>
    <w:rsid w:val="00ED68B8"/>
    <w:rsid w:val="00ED6F3B"/>
    <w:rsid w:val="00ED7788"/>
    <w:rsid w:val="00EE054C"/>
    <w:rsid w:val="00EE0EC2"/>
    <w:rsid w:val="00EE1376"/>
    <w:rsid w:val="00EE1D02"/>
    <w:rsid w:val="00EE32D9"/>
    <w:rsid w:val="00EE560E"/>
    <w:rsid w:val="00EF4325"/>
    <w:rsid w:val="00EF492E"/>
    <w:rsid w:val="00F008B6"/>
    <w:rsid w:val="00F04E83"/>
    <w:rsid w:val="00F06A48"/>
    <w:rsid w:val="00F06AD3"/>
    <w:rsid w:val="00F073DC"/>
    <w:rsid w:val="00F11CFE"/>
    <w:rsid w:val="00F13A84"/>
    <w:rsid w:val="00F15F7A"/>
    <w:rsid w:val="00F23086"/>
    <w:rsid w:val="00F24778"/>
    <w:rsid w:val="00F27691"/>
    <w:rsid w:val="00F3082E"/>
    <w:rsid w:val="00F312E2"/>
    <w:rsid w:val="00F31499"/>
    <w:rsid w:val="00F32030"/>
    <w:rsid w:val="00F3398D"/>
    <w:rsid w:val="00F37EAE"/>
    <w:rsid w:val="00F40AD8"/>
    <w:rsid w:val="00F42F42"/>
    <w:rsid w:val="00F457FA"/>
    <w:rsid w:val="00F514ED"/>
    <w:rsid w:val="00F524A0"/>
    <w:rsid w:val="00F55345"/>
    <w:rsid w:val="00F66450"/>
    <w:rsid w:val="00F7047B"/>
    <w:rsid w:val="00F71646"/>
    <w:rsid w:val="00F72CAC"/>
    <w:rsid w:val="00F77C05"/>
    <w:rsid w:val="00F81B9E"/>
    <w:rsid w:val="00F83304"/>
    <w:rsid w:val="00F846D5"/>
    <w:rsid w:val="00F864F6"/>
    <w:rsid w:val="00F9088A"/>
    <w:rsid w:val="00F96586"/>
    <w:rsid w:val="00F96F40"/>
    <w:rsid w:val="00FA2BCF"/>
    <w:rsid w:val="00FA3651"/>
    <w:rsid w:val="00FA6EA0"/>
    <w:rsid w:val="00FA749B"/>
    <w:rsid w:val="00FB2F0D"/>
    <w:rsid w:val="00FB3CC1"/>
    <w:rsid w:val="00FB433E"/>
    <w:rsid w:val="00FB7A3A"/>
    <w:rsid w:val="00FC1480"/>
    <w:rsid w:val="00FC1A82"/>
    <w:rsid w:val="00FC3D52"/>
    <w:rsid w:val="00FC56E6"/>
    <w:rsid w:val="00FD0294"/>
    <w:rsid w:val="00FE338C"/>
    <w:rsid w:val="00FE3800"/>
    <w:rsid w:val="00FF1D96"/>
    <w:rsid w:val="00FF4830"/>
    <w:rsid w:val="00FF507C"/>
    <w:rsid w:val="00FF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20D2"/>
  <w15:docId w15:val="{4AE13CB4-B214-A34C-92C6-84045E84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694"/>
    <w:rPr>
      <w:rFonts w:ascii="Times New Roman" w:eastAsia="Times New Roman" w:hAnsi="Times New Roman" w:cs="Times New Roman"/>
    </w:rPr>
  </w:style>
  <w:style w:type="paragraph" w:styleId="Heading1">
    <w:name w:val="heading 1"/>
    <w:basedOn w:val="Normal"/>
    <w:link w:val="Heading1Char"/>
    <w:uiPriority w:val="9"/>
    <w:qFormat/>
    <w:rsid w:val="009D4B36"/>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6C252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554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7CBF"/>
    <w:pPr>
      <w:widowControl w:val="0"/>
      <w:autoSpaceDE w:val="0"/>
      <w:autoSpaceDN w:val="0"/>
      <w:adjustRightInd w:val="0"/>
    </w:pPr>
    <w:rPr>
      <w:rFonts w:ascii="New Baskerville" w:eastAsiaTheme="minorEastAsia" w:hAnsi="New Baskerville" w:cs="New Baskerville"/>
      <w:sz w:val="22"/>
      <w:szCs w:val="22"/>
    </w:rPr>
  </w:style>
  <w:style w:type="character" w:customStyle="1" w:styleId="BodyTextChar">
    <w:name w:val="Body Text Char"/>
    <w:basedOn w:val="DefaultParagraphFont"/>
    <w:link w:val="BodyText"/>
    <w:uiPriority w:val="1"/>
    <w:rsid w:val="001F7CBF"/>
    <w:rPr>
      <w:rFonts w:ascii="New Baskerville" w:eastAsiaTheme="minorEastAsia" w:hAnsi="New Baskerville" w:cs="New Baskerville"/>
      <w:sz w:val="22"/>
      <w:szCs w:val="22"/>
    </w:rPr>
  </w:style>
  <w:style w:type="paragraph" w:styleId="FootnoteText">
    <w:name w:val="footnote text"/>
    <w:aliases w:val="Footnote Text Char1,Footnote Text Char Char,Footnote Text Char1 Char Char,Footnote Text Char Char Char Char,Footnote Text Char Char1,Footnote Text Char1 Char,Footnote Text Char Char Char,ft,single space,5_G,Footnote reference,FA Fu,Char,fn"/>
    <w:basedOn w:val="Normal"/>
    <w:link w:val="FootnoteTextChar"/>
    <w:uiPriority w:val="99"/>
    <w:unhideWhenUsed/>
    <w:rsid w:val="00E311C0"/>
    <w:rPr>
      <w:rFonts w:asciiTheme="minorHAnsi" w:eastAsiaTheme="minorEastAsia" w:hAnsiTheme="minorHAnsi" w:cstheme="minorBidi"/>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ft Char"/>
    <w:basedOn w:val="DefaultParagraphFont"/>
    <w:link w:val="FootnoteText"/>
    <w:uiPriority w:val="99"/>
    <w:rsid w:val="00E311C0"/>
    <w:rPr>
      <w:rFonts w:eastAsiaTheme="minorEastAsia"/>
    </w:rPr>
  </w:style>
  <w:style w:type="character" w:styleId="FootnoteReference">
    <w:name w:val="footnote reference"/>
    <w:aliases w:val="4_G,Footnote number,ftref,Footnote text,Footnotes refss,Footnote Ref,16 Point,Superscript 6 Point,Appel note de bas de p.,Footnote Refernece,callout,Footnote Reference Superscript,Footnote Reference Number,BVI fnr, BVI fnr"/>
    <w:basedOn w:val="DefaultParagraphFont"/>
    <w:uiPriority w:val="99"/>
    <w:unhideWhenUsed/>
    <w:rsid w:val="00E311C0"/>
    <w:rPr>
      <w:vertAlign w:val="superscript"/>
    </w:rPr>
  </w:style>
  <w:style w:type="paragraph" w:styleId="NoSpacing">
    <w:name w:val="No Spacing"/>
    <w:uiPriority w:val="1"/>
    <w:qFormat/>
    <w:rsid w:val="00E311C0"/>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B27D8C"/>
    <w:rPr>
      <w:color w:val="0563C1" w:themeColor="hyperlink"/>
      <w:u w:val="single"/>
    </w:rPr>
  </w:style>
  <w:style w:type="character" w:styleId="UnresolvedMention">
    <w:name w:val="Unresolved Mention"/>
    <w:basedOn w:val="DefaultParagraphFont"/>
    <w:uiPriority w:val="99"/>
    <w:semiHidden/>
    <w:unhideWhenUsed/>
    <w:rsid w:val="00B27D8C"/>
    <w:rPr>
      <w:color w:val="605E5C"/>
      <w:shd w:val="clear" w:color="auto" w:fill="E1DFDD"/>
    </w:rPr>
  </w:style>
  <w:style w:type="paragraph" w:customStyle="1" w:styleId="dcr-xry7m2">
    <w:name w:val="dcr-xry7m2"/>
    <w:basedOn w:val="Normal"/>
    <w:rsid w:val="00586F5C"/>
    <w:pPr>
      <w:spacing w:before="100" w:beforeAutospacing="1" w:after="100" w:afterAutospacing="1"/>
    </w:pPr>
  </w:style>
  <w:style w:type="character" w:customStyle="1" w:styleId="paywall-eab47cfd">
    <w:name w:val="paywall-eab47cfd"/>
    <w:basedOn w:val="DefaultParagraphFont"/>
    <w:rsid w:val="004776F4"/>
  </w:style>
  <w:style w:type="character" w:customStyle="1" w:styleId="apple-converted-space">
    <w:name w:val="apple-converted-space"/>
    <w:basedOn w:val="DefaultParagraphFont"/>
    <w:rsid w:val="004776F4"/>
  </w:style>
  <w:style w:type="character" w:customStyle="1" w:styleId="Heading1Char">
    <w:name w:val="Heading 1 Char"/>
    <w:basedOn w:val="DefaultParagraphFont"/>
    <w:link w:val="Heading1"/>
    <w:uiPriority w:val="9"/>
    <w:rsid w:val="009D4B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C2525"/>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272C8"/>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0E3F7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E3F75"/>
  </w:style>
  <w:style w:type="character" w:styleId="PageNumber">
    <w:name w:val="page number"/>
    <w:basedOn w:val="DefaultParagraphFont"/>
    <w:uiPriority w:val="99"/>
    <w:semiHidden/>
    <w:unhideWhenUsed/>
    <w:rsid w:val="000E3F75"/>
  </w:style>
  <w:style w:type="character" w:styleId="FollowedHyperlink">
    <w:name w:val="FollowedHyperlink"/>
    <w:basedOn w:val="DefaultParagraphFont"/>
    <w:uiPriority w:val="99"/>
    <w:semiHidden/>
    <w:unhideWhenUsed/>
    <w:rsid w:val="0041153A"/>
    <w:rPr>
      <w:color w:val="954F72" w:themeColor="followedHyperlink"/>
      <w:u w:val="single"/>
    </w:rPr>
  </w:style>
  <w:style w:type="paragraph" w:styleId="NormalWeb">
    <w:name w:val="Normal (Web)"/>
    <w:basedOn w:val="Normal"/>
    <w:uiPriority w:val="99"/>
    <w:unhideWhenUsed/>
    <w:rsid w:val="001419F5"/>
    <w:pPr>
      <w:spacing w:before="100" w:beforeAutospacing="1" w:after="100" w:afterAutospacing="1"/>
    </w:pPr>
  </w:style>
  <w:style w:type="character" w:styleId="EndnoteReference">
    <w:name w:val="endnote reference"/>
    <w:basedOn w:val="DefaultParagraphFont"/>
    <w:uiPriority w:val="99"/>
    <w:semiHidden/>
    <w:unhideWhenUsed/>
    <w:rsid w:val="00D931DA"/>
    <w:rPr>
      <w:vertAlign w:val="superscript"/>
    </w:rPr>
  </w:style>
  <w:style w:type="paragraph" w:styleId="Header">
    <w:name w:val="header"/>
    <w:basedOn w:val="Normal"/>
    <w:link w:val="HeaderChar"/>
    <w:uiPriority w:val="99"/>
    <w:unhideWhenUsed/>
    <w:rsid w:val="00B3460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34600"/>
  </w:style>
  <w:style w:type="paragraph" w:customStyle="1" w:styleId="ssrcss-1q0x1qg-paragraph">
    <w:name w:val="ssrcss-1q0x1qg-paragraph"/>
    <w:basedOn w:val="Normal"/>
    <w:rsid w:val="00AF4FF8"/>
    <w:pPr>
      <w:spacing w:before="100" w:beforeAutospacing="1" w:after="100" w:afterAutospacing="1"/>
    </w:pPr>
  </w:style>
  <w:style w:type="paragraph" w:customStyle="1" w:styleId="Default">
    <w:name w:val="Default"/>
    <w:rsid w:val="0093233C"/>
    <w:pPr>
      <w:autoSpaceDE w:val="0"/>
      <w:autoSpaceDN w:val="0"/>
      <w:adjustRightInd w:val="0"/>
    </w:pPr>
    <w:rPr>
      <w:rFonts w:ascii="Hoefler Text" w:hAnsi="Hoefler Text" w:cs="Hoefler Text"/>
      <w:color w:val="000000"/>
    </w:rPr>
  </w:style>
  <w:style w:type="character" w:customStyle="1" w:styleId="Heading4Char">
    <w:name w:val="Heading 4 Char"/>
    <w:basedOn w:val="DefaultParagraphFont"/>
    <w:link w:val="Heading4"/>
    <w:uiPriority w:val="9"/>
    <w:semiHidden/>
    <w:rsid w:val="009554AA"/>
    <w:rPr>
      <w:rFonts w:asciiTheme="majorHAnsi" w:eastAsiaTheme="majorEastAsia" w:hAnsiTheme="majorHAnsi" w:cstheme="majorBidi"/>
      <w:i/>
      <w:iCs/>
      <w:color w:val="2F5496" w:themeColor="accent1" w:themeShade="BF"/>
    </w:rPr>
  </w:style>
  <w:style w:type="paragraph" w:customStyle="1" w:styleId="Pa10">
    <w:name w:val="Pa10"/>
    <w:basedOn w:val="Default"/>
    <w:next w:val="Default"/>
    <w:uiPriority w:val="99"/>
    <w:rsid w:val="000A4B9C"/>
    <w:pPr>
      <w:spacing w:line="24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906">
      <w:bodyDiv w:val="1"/>
      <w:marLeft w:val="0"/>
      <w:marRight w:val="0"/>
      <w:marTop w:val="0"/>
      <w:marBottom w:val="0"/>
      <w:divBdr>
        <w:top w:val="none" w:sz="0" w:space="0" w:color="auto"/>
        <w:left w:val="none" w:sz="0" w:space="0" w:color="auto"/>
        <w:bottom w:val="none" w:sz="0" w:space="0" w:color="auto"/>
        <w:right w:val="none" w:sz="0" w:space="0" w:color="auto"/>
      </w:divBdr>
    </w:div>
    <w:div w:id="24332758">
      <w:bodyDiv w:val="1"/>
      <w:marLeft w:val="0"/>
      <w:marRight w:val="0"/>
      <w:marTop w:val="0"/>
      <w:marBottom w:val="0"/>
      <w:divBdr>
        <w:top w:val="none" w:sz="0" w:space="0" w:color="auto"/>
        <w:left w:val="none" w:sz="0" w:space="0" w:color="auto"/>
        <w:bottom w:val="none" w:sz="0" w:space="0" w:color="auto"/>
        <w:right w:val="none" w:sz="0" w:space="0" w:color="auto"/>
      </w:divBdr>
    </w:div>
    <w:div w:id="28342230">
      <w:bodyDiv w:val="1"/>
      <w:marLeft w:val="0"/>
      <w:marRight w:val="0"/>
      <w:marTop w:val="0"/>
      <w:marBottom w:val="0"/>
      <w:divBdr>
        <w:top w:val="none" w:sz="0" w:space="0" w:color="auto"/>
        <w:left w:val="none" w:sz="0" w:space="0" w:color="auto"/>
        <w:bottom w:val="none" w:sz="0" w:space="0" w:color="auto"/>
        <w:right w:val="none" w:sz="0" w:space="0" w:color="auto"/>
      </w:divBdr>
      <w:divsChild>
        <w:div w:id="291064220">
          <w:marLeft w:val="0"/>
          <w:marRight w:val="0"/>
          <w:marTop w:val="0"/>
          <w:marBottom w:val="0"/>
          <w:divBdr>
            <w:top w:val="none" w:sz="0" w:space="0" w:color="auto"/>
            <w:left w:val="none" w:sz="0" w:space="0" w:color="auto"/>
            <w:bottom w:val="none" w:sz="0" w:space="0" w:color="auto"/>
            <w:right w:val="none" w:sz="0" w:space="0" w:color="auto"/>
          </w:divBdr>
          <w:divsChild>
            <w:div w:id="402341799">
              <w:marLeft w:val="0"/>
              <w:marRight w:val="0"/>
              <w:marTop w:val="0"/>
              <w:marBottom w:val="0"/>
              <w:divBdr>
                <w:top w:val="none" w:sz="0" w:space="0" w:color="auto"/>
                <w:left w:val="none" w:sz="0" w:space="0" w:color="auto"/>
                <w:bottom w:val="none" w:sz="0" w:space="0" w:color="auto"/>
                <w:right w:val="none" w:sz="0" w:space="0" w:color="auto"/>
              </w:divBdr>
              <w:divsChild>
                <w:div w:id="17654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846">
      <w:bodyDiv w:val="1"/>
      <w:marLeft w:val="0"/>
      <w:marRight w:val="0"/>
      <w:marTop w:val="0"/>
      <w:marBottom w:val="0"/>
      <w:divBdr>
        <w:top w:val="none" w:sz="0" w:space="0" w:color="auto"/>
        <w:left w:val="none" w:sz="0" w:space="0" w:color="auto"/>
        <w:bottom w:val="none" w:sz="0" w:space="0" w:color="auto"/>
        <w:right w:val="none" w:sz="0" w:space="0" w:color="auto"/>
      </w:divBdr>
    </w:div>
    <w:div w:id="91097034">
      <w:bodyDiv w:val="1"/>
      <w:marLeft w:val="0"/>
      <w:marRight w:val="0"/>
      <w:marTop w:val="0"/>
      <w:marBottom w:val="0"/>
      <w:divBdr>
        <w:top w:val="none" w:sz="0" w:space="0" w:color="auto"/>
        <w:left w:val="none" w:sz="0" w:space="0" w:color="auto"/>
        <w:bottom w:val="none" w:sz="0" w:space="0" w:color="auto"/>
        <w:right w:val="none" w:sz="0" w:space="0" w:color="auto"/>
      </w:divBdr>
      <w:divsChild>
        <w:div w:id="1109204661">
          <w:marLeft w:val="0"/>
          <w:marRight w:val="0"/>
          <w:marTop w:val="0"/>
          <w:marBottom w:val="0"/>
          <w:divBdr>
            <w:top w:val="none" w:sz="0" w:space="0" w:color="auto"/>
            <w:left w:val="none" w:sz="0" w:space="0" w:color="auto"/>
            <w:bottom w:val="none" w:sz="0" w:space="0" w:color="auto"/>
            <w:right w:val="none" w:sz="0" w:space="0" w:color="auto"/>
          </w:divBdr>
          <w:divsChild>
            <w:div w:id="48578556">
              <w:marLeft w:val="0"/>
              <w:marRight w:val="0"/>
              <w:marTop w:val="0"/>
              <w:marBottom w:val="0"/>
              <w:divBdr>
                <w:top w:val="none" w:sz="0" w:space="0" w:color="auto"/>
                <w:left w:val="none" w:sz="0" w:space="0" w:color="auto"/>
                <w:bottom w:val="none" w:sz="0" w:space="0" w:color="auto"/>
                <w:right w:val="none" w:sz="0" w:space="0" w:color="auto"/>
              </w:divBdr>
              <w:divsChild>
                <w:div w:id="8514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8599">
      <w:bodyDiv w:val="1"/>
      <w:marLeft w:val="0"/>
      <w:marRight w:val="0"/>
      <w:marTop w:val="0"/>
      <w:marBottom w:val="0"/>
      <w:divBdr>
        <w:top w:val="none" w:sz="0" w:space="0" w:color="auto"/>
        <w:left w:val="none" w:sz="0" w:space="0" w:color="auto"/>
        <w:bottom w:val="none" w:sz="0" w:space="0" w:color="auto"/>
        <w:right w:val="none" w:sz="0" w:space="0" w:color="auto"/>
      </w:divBdr>
      <w:divsChild>
        <w:div w:id="1844316214">
          <w:marLeft w:val="0"/>
          <w:marRight w:val="0"/>
          <w:marTop w:val="0"/>
          <w:marBottom w:val="0"/>
          <w:divBdr>
            <w:top w:val="none" w:sz="0" w:space="0" w:color="auto"/>
            <w:left w:val="none" w:sz="0" w:space="0" w:color="auto"/>
            <w:bottom w:val="none" w:sz="0" w:space="0" w:color="auto"/>
            <w:right w:val="none" w:sz="0" w:space="0" w:color="auto"/>
          </w:divBdr>
          <w:divsChild>
            <w:div w:id="159126862">
              <w:marLeft w:val="0"/>
              <w:marRight w:val="0"/>
              <w:marTop w:val="0"/>
              <w:marBottom w:val="0"/>
              <w:divBdr>
                <w:top w:val="none" w:sz="0" w:space="0" w:color="auto"/>
                <w:left w:val="none" w:sz="0" w:space="0" w:color="auto"/>
                <w:bottom w:val="none" w:sz="0" w:space="0" w:color="auto"/>
                <w:right w:val="none" w:sz="0" w:space="0" w:color="auto"/>
              </w:divBdr>
              <w:divsChild>
                <w:div w:id="268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1743">
      <w:bodyDiv w:val="1"/>
      <w:marLeft w:val="0"/>
      <w:marRight w:val="0"/>
      <w:marTop w:val="0"/>
      <w:marBottom w:val="0"/>
      <w:divBdr>
        <w:top w:val="none" w:sz="0" w:space="0" w:color="auto"/>
        <w:left w:val="none" w:sz="0" w:space="0" w:color="auto"/>
        <w:bottom w:val="none" w:sz="0" w:space="0" w:color="auto"/>
        <w:right w:val="none" w:sz="0" w:space="0" w:color="auto"/>
      </w:divBdr>
      <w:divsChild>
        <w:div w:id="1191721401">
          <w:marLeft w:val="0"/>
          <w:marRight w:val="0"/>
          <w:marTop w:val="0"/>
          <w:marBottom w:val="0"/>
          <w:divBdr>
            <w:top w:val="none" w:sz="0" w:space="0" w:color="auto"/>
            <w:left w:val="none" w:sz="0" w:space="0" w:color="auto"/>
            <w:bottom w:val="none" w:sz="0" w:space="0" w:color="auto"/>
            <w:right w:val="none" w:sz="0" w:space="0" w:color="auto"/>
          </w:divBdr>
          <w:divsChild>
            <w:div w:id="243609468">
              <w:marLeft w:val="0"/>
              <w:marRight w:val="0"/>
              <w:marTop w:val="0"/>
              <w:marBottom w:val="0"/>
              <w:divBdr>
                <w:top w:val="none" w:sz="0" w:space="0" w:color="auto"/>
                <w:left w:val="none" w:sz="0" w:space="0" w:color="auto"/>
                <w:bottom w:val="none" w:sz="0" w:space="0" w:color="auto"/>
                <w:right w:val="none" w:sz="0" w:space="0" w:color="auto"/>
              </w:divBdr>
              <w:divsChild>
                <w:div w:id="15265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5064">
      <w:bodyDiv w:val="1"/>
      <w:marLeft w:val="0"/>
      <w:marRight w:val="0"/>
      <w:marTop w:val="0"/>
      <w:marBottom w:val="0"/>
      <w:divBdr>
        <w:top w:val="none" w:sz="0" w:space="0" w:color="auto"/>
        <w:left w:val="none" w:sz="0" w:space="0" w:color="auto"/>
        <w:bottom w:val="none" w:sz="0" w:space="0" w:color="auto"/>
        <w:right w:val="none" w:sz="0" w:space="0" w:color="auto"/>
      </w:divBdr>
    </w:div>
    <w:div w:id="268776618">
      <w:bodyDiv w:val="1"/>
      <w:marLeft w:val="0"/>
      <w:marRight w:val="0"/>
      <w:marTop w:val="0"/>
      <w:marBottom w:val="0"/>
      <w:divBdr>
        <w:top w:val="none" w:sz="0" w:space="0" w:color="auto"/>
        <w:left w:val="none" w:sz="0" w:space="0" w:color="auto"/>
        <w:bottom w:val="none" w:sz="0" w:space="0" w:color="auto"/>
        <w:right w:val="none" w:sz="0" w:space="0" w:color="auto"/>
      </w:divBdr>
    </w:div>
    <w:div w:id="275257746">
      <w:bodyDiv w:val="1"/>
      <w:marLeft w:val="0"/>
      <w:marRight w:val="0"/>
      <w:marTop w:val="0"/>
      <w:marBottom w:val="0"/>
      <w:divBdr>
        <w:top w:val="none" w:sz="0" w:space="0" w:color="auto"/>
        <w:left w:val="none" w:sz="0" w:space="0" w:color="auto"/>
        <w:bottom w:val="none" w:sz="0" w:space="0" w:color="auto"/>
        <w:right w:val="none" w:sz="0" w:space="0" w:color="auto"/>
      </w:divBdr>
    </w:div>
    <w:div w:id="300503746">
      <w:bodyDiv w:val="1"/>
      <w:marLeft w:val="0"/>
      <w:marRight w:val="0"/>
      <w:marTop w:val="0"/>
      <w:marBottom w:val="0"/>
      <w:divBdr>
        <w:top w:val="none" w:sz="0" w:space="0" w:color="auto"/>
        <w:left w:val="none" w:sz="0" w:space="0" w:color="auto"/>
        <w:bottom w:val="none" w:sz="0" w:space="0" w:color="auto"/>
        <w:right w:val="none" w:sz="0" w:space="0" w:color="auto"/>
      </w:divBdr>
    </w:div>
    <w:div w:id="370962449">
      <w:bodyDiv w:val="1"/>
      <w:marLeft w:val="0"/>
      <w:marRight w:val="0"/>
      <w:marTop w:val="0"/>
      <w:marBottom w:val="0"/>
      <w:divBdr>
        <w:top w:val="none" w:sz="0" w:space="0" w:color="auto"/>
        <w:left w:val="none" w:sz="0" w:space="0" w:color="auto"/>
        <w:bottom w:val="none" w:sz="0" w:space="0" w:color="auto"/>
        <w:right w:val="none" w:sz="0" w:space="0" w:color="auto"/>
      </w:divBdr>
    </w:div>
    <w:div w:id="402680978">
      <w:bodyDiv w:val="1"/>
      <w:marLeft w:val="0"/>
      <w:marRight w:val="0"/>
      <w:marTop w:val="0"/>
      <w:marBottom w:val="0"/>
      <w:divBdr>
        <w:top w:val="none" w:sz="0" w:space="0" w:color="auto"/>
        <w:left w:val="none" w:sz="0" w:space="0" w:color="auto"/>
        <w:bottom w:val="none" w:sz="0" w:space="0" w:color="auto"/>
        <w:right w:val="none" w:sz="0" w:space="0" w:color="auto"/>
      </w:divBdr>
    </w:div>
    <w:div w:id="436290908">
      <w:bodyDiv w:val="1"/>
      <w:marLeft w:val="0"/>
      <w:marRight w:val="0"/>
      <w:marTop w:val="0"/>
      <w:marBottom w:val="0"/>
      <w:divBdr>
        <w:top w:val="none" w:sz="0" w:space="0" w:color="auto"/>
        <w:left w:val="none" w:sz="0" w:space="0" w:color="auto"/>
        <w:bottom w:val="none" w:sz="0" w:space="0" w:color="auto"/>
        <w:right w:val="none" w:sz="0" w:space="0" w:color="auto"/>
      </w:divBdr>
    </w:div>
    <w:div w:id="525218702">
      <w:bodyDiv w:val="1"/>
      <w:marLeft w:val="0"/>
      <w:marRight w:val="0"/>
      <w:marTop w:val="0"/>
      <w:marBottom w:val="0"/>
      <w:divBdr>
        <w:top w:val="none" w:sz="0" w:space="0" w:color="auto"/>
        <w:left w:val="none" w:sz="0" w:space="0" w:color="auto"/>
        <w:bottom w:val="none" w:sz="0" w:space="0" w:color="auto"/>
        <w:right w:val="none" w:sz="0" w:space="0" w:color="auto"/>
      </w:divBdr>
    </w:div>
    <w:div w:id="533659942">
      <w:bodyDiv w:val="1"/>
      <w:marLeft w:val="0"/>
      <w:marRight w:val="0"/>
      <w:marTop w:val="0"/>
      <w:marBottom w:val="0"/>
      <w:divBdr>
        <w:top w:val="none" w:sz="0" w:space="0" w:color="auto"/>
        <w:left w:val="none" w:sz="0" w:space="0" w:color="auto"/>
        <w:bottom w:val="none" w:sz="0" w:space="0" w:color="auto"/>
        <w:right w:val="none" w:sz="0" w:space="0" w:color="auto"/>
      </w:divBdr>
    </w:div>
    <w:div w:id="575477346">
      <w:bodyDiv w:val="1"/>
      <w:marLeft w:val="0"/>
      <w:marRight w:val="0"/>
      <w:marTop w:val="0"/>
      <w:marBottom w:val="0"/>
      <w:divBdr>
        <w:top w:val="none" w:sz="0" w:space="0" w:color="auto"/>
        <w:left w:val="none" w:sz="0" w:space="0" w:color="auto"/>
        <w:bottom w:val="none" w:sz="0" w:space="0" w:color="auto"/>
        <w:right w:val="none" w:sz="0" w:space="0" w:color="auto"/>
      </w:divBdr>
      <w:divsChild>
        <w:div w:id="661615798">
          <w:marLeft w:val="0"/>
          <w:marRight w:val="0"/>
          <w:marTop w:val="0"/>
          <w:marBottom w:val="0"/>
          <w:divBdr>
            <w:top w:val="none" w:sz="0" w:space="0" w:color="auto"/>
            <w:left w:val="none" w:sz="0" w:space="0" w:color="auto"/>
            <w:bottom w:val="none" w:sz="0" w:space="0" w:color="auto"/>
            <w:right w:val="none" w:sz="0" w:space="0" w:color="auto"/>
          </w:divBdr>
          <w:divsChild>
            <w:div w:id="1081029503">
              <w:marLeft w:val="0"/>
              <w:marRight w:val="0"/>
              <w:marTop w:val="0"/>
              <w:marBottom w:val="0"/>
              <w:divBdr>
                <w:top w:val="none" w:sz="0" w:space="0" w:color="auto"/>
                <w:left w:val="none" w:sz="0" w:space="0" w:color="auto"/>
                <w:bottom w:val="none" w:sz="0" w:space="0" w:color="auto"/>
                <w:right w:val="none" w:sz="0" w:space="0" w:color="auto"/>
              </w:divBdr>
              <w:divsChild>
                <w:div w:id="18976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4280">
      <w:bodyDiv w:val="1"/>
      <w:marLeft w:val="0"/>
      <w:marRight w:val="0"/>
      <w:marTop w:val="0"/>
      <w:marBottom w:val="0"/>
      <w:divBdr>
        <w:top w:val="none" w:sz="0" w:space="0" w:color="auto"/>
        <w:left w:val="none" w:sz="0" w:space="0" w:color="auto"/>
        <w:bottom w:val="none" w:sz="0" w:space="0" w:color="auto"/>
        <w:right w:val="none" w:sz="0" w:space="0" w:color="auto"/>
      </w:divBdr>
      <w:divsChild>
        <w:div w:id="526872635">
          <w:marLeft w:val="0"/>
          <w:marRight w:val="0"/>
          <w:marTop w:val="0"/>
          <w:marBottom w:val="0"/>
          <w:divBdr>
            <w:top w:val="none" w:sz="0" w:space="0" w:color="auto"/>
            <w:left w:val="none" w:sz="0" w:space="0" w:color="auto"/>
            <w:bottom w:val="none" w:sz="0" w:space="0" w:color="auto"/>
            <w:right w:val="none" w:sz="0" w:space="0" w:color="auto"/>
          </w:divBdr>
          <w:divsChild>
            <w:div w:id="1602251527">
              <w:marLeft w:val="0"/>
              <w:marRight w:val="0"/>
              <w:marTop w:val="0"/>
              <w:marBottom w:val="0"/>
              <w:divBdr>
                <w:top w:val="none" w:sz="0" w:space="0" w:color="auto"/>
                <w:left w:val="none" w:sz="0" w:space="0" w:color="auto"/>
                <w:bottom w:val="none" w:sz="0" w:space="0" w:color="auto"/>
                <w:right w:val="none" w:sz="0" w:space="0" w:color="auto"/>
              </w:divBdr>
              <w:divsChild>
                <w:div w:id="19274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42192">
      <w:bodyDiv w:val="1"/>
      <w:marLeft w:val="0"/>
      <w:marRight w:val="0"/>
      <w:marTop w:val="0"/>
      <w:marBottom w:val="0"/>
      <w:divBdr>
        <w:top w:val="none" w:sz="0" w:space="0" w:color="auto"/>
        <w:left w:val="none" w:sz="0" w:space="0" w:color="auto"/>
        <w:bottom w:val="none" w:sz="0" w:space="0" w:color="auto"/>
        <w:right w:val="none" w:sz="0" w:space="0" w:color="auto"/>
      </w:divBdr>
      <w:divsChild>
        <w:div w:id="397097466">
          <w:marLeft w:val="0"/>
          <w:marRight w:val="0"/>
          <w:marTop w:val="0"/>
          <w:marBottom w:val="0"/>
          <w:divBdr>
            <w:top w:val="none" w:sz="0" w:space="0" w:color="auto"/>
            <w:left w:val="none" w:sz="0" w:space="0" w:color="auto"/>
            <w:bottom w:val="none" w:sz="0" w:space="0" w:color="auto"/>
            <w:right w:val="none" w:sz="0" w:space="0" w:color="auto"/>
          </w:divBdr>
          <w:divsChild>
            <w:div w:id="27141627">
              <w:marLeft w:val="0"/>
              <w:marRight w:val="0"/>
              <w:marTop w:val="0"/>
              <w:marBottom w:val="0"/>
              <w:divBdr>
                <w:top w:val="none" w:sz="0" w:space="0" w:color="auto"/>
                <w:left w:val="none" w:sz="0" w:space="0" w:color="auto"/>
                <w:bottom w:val="none" w:sz="0" w:space="0" w:color="auto"/>
                <w:right w:val="none" w:sz="0" w:space="0" w:color="auto"/>
              </w:divBdr>
            </w:div>
          </w:divsChild>
        </w:div>
        <w:div w:id="663094470">
          <w:marLeft w:val="0"/>
          <w:marRight w:val="0"/>
          <w:marTop w:val="0"/>
          <w:marBottom w:val="0"/>
          <w:divBdr>
            <w:top w:val="none" w:sz="0" w:space="0" w:color="auto"/>
            <w:left w:val="none" w:sz="0" w:space="0" w:color="auto"/>
            <w:bottom w:val="none" w:sz="0" w:space="0" w:color="auto"/>
            <w:right w:val="none" w:sz="0" w:space="0" w:color="auto"/>
          </w:divBdr>
          <w:divsChild>
            <w:div w:id="13022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3307">
      <w:bodyDiv w:val="1"/>
      <w:marLeft w:val="0"/>
      <w:marRight w:val="0"/>
      <w:marTop w:val="0"/>
      <w:marBottom w:val="0"/>
      <w:divBdr>
        <w:top w:val="none" w:sz="0" w:space="0" w:color="auto"/>
        <w:left w:val="none" w:sz="0" w:space="0" w:color="auto"/>
        <w:bottom w:val="none" w:sz="0" w:space="0" w:color="auto"/>
        <w:right w:val="none" w:sz="0" w:space="0" w:color="auto"/>
      </w:divBdr>
    </w:div>
    <w:div w:id="687606405">
      <w:bodyDiv w:val="1"/>
      <w:marLeft w:val="0"/>
      <w:marRight w:val="0"/>
      <w:marTop w:val="0"/>
      <w:marBottom w:val="0"/>
      <w:divBdr>
        <w:top w:val="none" w:sz="0" w:space="0" w:color="auto"/>
        <w:left w:val="none" w:sz="0" w:space="0" w:color="auto"/>
        <w:bottom w:val="none" w:sz="0" w:space="0" w:color="auto"/>
        <w:right w:val="none" w:sz="0" w:space="0" w:color="auto"/>
      </w:divBdr>
    </w:div>
    <w:div w:id="721564467">
      <w:bodyDiv w:val="1"/>
      <w:marLeft w:val="0"/>
      <w:marRight w:val="0"/>
      <w:marTop w:val="0"/>
      <w:marBottom w:val="0"/>
      <w:divBdr>
        <w:top w:val="none" w:sz="0" w:space="0" w:color="auto"/>
        <w:left w:val="none" w:sz="0" w:space="0" w:color="auto"/>
        <w:bottom w:val="none" w:sz="0" w:space="0" w:color="auto"/>
        <w:right w:val="none" w:sz="0" w:space="0" w:color="auto"/>
      </w:divBdr>
    </w:div>
    <w:div w:id="736828961">
      <w:bodyDiv w:val="1"/>
      <w:marLeft w:val="0"/>
      <w:marRight w:val="0"/>
      <w:marTop w:val="0"/>
      <w:marBottom w:val="0"/>
      <w:divBdr>
        <w:top w:val="none" w:sz="0" w:space="0" w:color="auto"/>
        <w:left w:val="none" w:sz="0" w:space="0" w:color="auto"/>
        <w:bottom w:val="none" w:sz="0" w:space="0" w:color="auto"/>
        <w:right w:val="none" w:sz="0" w:space="0" w:color="auto"/>
      </w:divBdr>
    </w:div>
    <w:div w:id="741296841">
      <w:bodyDiv w:val="1"/>
      <w:marLeft w:val="0"/>
      <w:marRight w:val="0"/>
      <w:marTop w:val="0"/>
      <w:marBottom w:val="0"/>
      <w:divBdr>
        <w:top w:val="none" w:sz="0" w:space="0" w:color="auto"/>
        <w:left w:val="none" w:sz="0" w:space="0" w:color="auto"/>
        <w:bottom w:val="none" w:sz="0" w:space="0" w:color="auto"/>
        <w:right w:val="none" w:sz="0" w:space="0" w:color="auto"/>
      </w:divBdr>
    </w:div>
    <w:div w:id="764619243">
      <w:bodyDiv w:val="1"/>
      <w:marLeft w:val="0"/>
      <w:marRight w:val="0"/>
      <w:marTop w:val="0"/>
      <w:marBottom w:val="0"/>
      <w:divBdr>
        <w:top w:val="none" w:sz="0" w:space="0" w:color="auto"/>
        <w:left w:val="none" w:sz="0" w:space="0" w:color="auto"/>
        <w:bottom w:val="none" w:sz="0" w:space="0" w:color="auto"/>
        <w:right w:val="none" w:sz="0" w:space="0" w:color="auto"/>
      </w:divBdr>
    </w:div>
    <w:div w:id="793257653">
      <w:bodyDiv w:val="1"/>
      <w:marLeft w:val="0"/>
      <w:marRight w:val="0"/>
      <w:marTop w:val="0"/>
      <w:marBottom w:val="0"/>
      <w:divBdr>
        <w:top w:val="none" w:sz="0" w:space="0" w:color="auto"/>
        <w:left w:val="none" w:sz="0" w:space="0" w:color="auto"/>
        <w:bottom w:val="none" w:sz="0" w:space="0" w:color="auto"/>
        <w:right w:val="none" w:sz="0" w:space="0" w:color="auto"/>
      </w:divBdr>
    </w:div>
    <w:div w:id="876048635">
      <w:bodyDiv w:val="1"/>
      <w:marLeft w:val="0"/>
      <w:marRight w:val="0"/>
      <w:marTop w:val="0"/>
      <w:marBottom w:val="0"/>
      <w:divBdr>
        <w:top w:val="none" w:sz="0" w:space="0" w:color="auto"/>
        <w:left w:val="none" w:sz="0" w:space="0" w:color="auto"/>
        <w:bottom w:val="none" w:sz="0" w:space="0" w:color="auto"/>
        <w:right w:val="none" w:sz="0" w:space="0" w:color="auto"/>
      </w:divBdr>
    </w:div>
    <w:div w:id="907303430">
      <w:bodyDiv w:val="1"/>
      <w:marLeft w:val="0"/>
      <w:marRight w:val="0"/>
      <w:marTop w:val="0"/>
      <w:marBottom w:val="0"/>
      <w:divBdr>
        <w:top w:val="none" w:sz="0" w:space="0" w:color="auto"/>
        <w:left w:val="none" w:sz="0" w:space="0" w:color="auto"/>
        <w:bottom w:val="none" w:sz="0" w:space="0" w:color="auto"/>
        <w:right w:val="none" w:sz="0" w:space="0" w:color="auto"/>
      </w:divBdr>
      <w:divsChild>
        <w:div w:id="421725362">
          <w:marLeft w:val="0"/>
          <w:marRight w:val="0"/>
          <w:marTop w:val="0"/>
          <w:marBottom w:val="0"/>
          <w:divBdr>
            <w:top w:val="none" w:sz="0" w:space="0" w:color="auto"/>
            <w:left w:val="none" w:sz="0" w:space="0" w:color="auto"/>
            <w:bottom w:val="none" w:sz="0" w:space="0" w:color="auto"/>
            <w:right w:val="none" w:sz="0" w:space="0" w:color="auto"/>
          </w:divBdr>
          <w:divsChild>
            <w:div w:id="1241056964">
              <w:marLeft w:val="0"/>
              <w:marRight w:val="0"/>
              <w:marTop w:val="0"/>
              <w:marBottom w:val="0"/>
              <w:divBdr>
                <w:top w:val="none" w:sz="0" w:space="0" w:color="auto"/>
                <w:left w:val="none" w:sz="0" w:space="0" w:color="auto"/>
                <w:bottom w:val="none" w:sz="0" w:space="0" w:color="auto"/>
                <w:right w:val="none" w:sz="0" w:space="0" w:color="auto"/>
              </w:divBdr>
              <w:divsChild>
                <w:div w:id="8653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2997">
      <w:bodyDiv w:val="1"/>
      <w:marLeft w:val="0"/>
      <w:marRight w:val="0"/>
      <w:marTop w:val="0"/>
      <w:marBottom w:val="0"/>
      <w:divBdr>
        <w:top w:val="none" w:sz="0" w:space="0" w:color="auto"/>
        <w:left w:val="none" w:sz="0" w:space="0" w:color="auto"/>
        <w:bottom w:val="none" w:sz="0" w:space="0" w:color="auto"/>
        <w:right w:val="none" w:sz="0" w:space="0" w:color="auto"/>
      </w:divBdr>
    </w:div>
    <w:div w:id="939218822">
      <w:bodyDiv w:val="1"/>
      <w:marLeft w:val="0"/>
      <w:marRight w:val="0"/>
      <w:marTop w:val="0"/>
      <w:marBottom w:val="0"/>
      <w:divBdr>
        <w:top w:val="none" w:sz="0" w:space="0" w:color="auto"/>
        <w:left w:val="none" w:sz="0" w:space="0" w:color="auto"/>
        <w:bottom w:val="none" w:sz="0" w:space="0" w:color="auto"/>
        <w:right w:val="none" w:sz="0" w:space="0" w:color="auto"/>
      </w:divBdr>
    </w:div>
    <w:div w:id="960305339">
      <w:bodyDiv w:val="1"/>
      <w:marLeft w:val="0"/>
      <w:marRight w:val="0"/>
      <w:marTop w:val="0"/>
      <w:marBottom w:val="0"/>
      <w:divBdr>
        <w:top w:val="none" w:sz="0" w:space="0" w:color="auto"/>
        <w:left w:val="none" w:sz="0" w:space="0" w:color="auto"/>
        <w:bottom w:val="none" w:sz="0" w:space="0" w:color="auto"/>
        <w:right w:val="none" w:sz="0" w:space="0" w:color="auto"/>
      </w:divBdr>
    </w:div>
    <w:div w:id="1005397625">
      <w:bodyDiv w:val="1"/>
      <w:marLeft w:val="0"/>
      <w:marRight w:val="0"/>
      <w:marTop w:val="0"/>
      <w:marBottom w:val="0"/>
      <w:divBdr>
        <w:top w:val="none" w:sz="0" w:space="0" w:color="auto"/>
        <w:left w:val="none" w:sz="0" w:space="0" w:color="auto"/>
        <w:bottom w:val="none" w:sz="0" w:space="0" w:color="auto"/>
        <w:right w:val="none" w:sz="0" w:space="0" w:color="auto"/>
      </w:divBdr>
      <w:divsChild>
        <w:div w:id="905721681">
          <w:marLeft w:val="0"/>
          <w:marRight w:val="0"/>
          <w:marTop w:val="0"/>
          <w:marBottom w:val="0"/>
          <w:divBdr>
            <w:top w:val="none" w:sz="0" w:space="0" w:color="auto"/>
            <w:left w:val="none" w:sz="0" w:space="0" w:color="auto"/>
            <w:bottom w:val="none" w:sz="0" w:space="0" w:color="auto"/>
            <w:right w:val="none" w:sz="0" w:space="0" w:color="auto"/>
          </w:divBdr>
          <w:divsChild>
            <w:div w:id="1558131750">
              <w:marLeft w:val="0"/>
              <w:marRight w:val="0"/>
              <w:marTop w:val="0"/>
              <w:marBottom w:val="0"/>
              <w:divBdr>
                <w:top w:val="none" w:sz="0" w:space="0" w:color="auto"/>
                <w:left w:val="none" w:sz="0" w:space="0" w:color="auto"/>
                <w:bottom w:val="none" w:sz="0" w:space="0" w:color="auto"/>
                <w:right w:val="none" w:sz="0" w:space="0" w:color="auto"/>
              </w:divBdr>
              <w:divsChild>
                <w:div w:id="15044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8682">
      <w:bodyDiv w:val="1"/>
      <w:marLeft w:val="0"/>
      <w:marRight w:val="0"/>
      <w:marTop w:val="0"/>
      <w:marBottom w:val="0"/>
      <w:divBdr>
        <w:top w:val="none" w:sz="0" w:space="0" w:color="auto"/>
        <w:left w:val="none" w:sz="0" w:space="0" w:color="auto"/>
        <w:bottom w:val="none" w:sz="0" w:space="0" w:color="auto"/>
        <w:right w:val="none" w:sz="0" w:space="0" w:color="auto"/>
      </w:divBdr>
      <w:divsChild>
        <w:div w:id="1569072145">
          <w:marLeft w:val="0"/>
          <w:marRight w:val="0"/>
          <w:marTop w:val="0"/>
          <w:marBottom w:val="0"/>
          <w:divBdr>
            <w:top w:val="none" w:sz="0" w:space="0" w:color="auto"/>
            <w:left w:val="none" w:sz="0" w:space="0" w:color="auto"/>
            <w:bottom w:val="none" w:sz="0" w:space="0" w:color="auto"/>
            <w:right w:val="none" w:sz="0" w:space="0" w:color="auto"/>
          </w:divBdr>
          <w:divsChild>
            <w:div w:id="708847307">
              <w:marLeft w:val="0"/>
              <w:marRight w:val="0"/>
              <w:marTop w:val="0"/>
              <w:marBottom w:val="0"/>
              <w:divBdr>
                <w:top w:val="none" w:sz="0" w:space="0" w:color="auto"/>
                <w:left w:val="none" w:sz="0" w:space="0" w:color="auto"/>
                <w:bottom w:val="none" w:sz="0" w:space="0" w:color="auto"/>
                <w:right w:val="none" w:sz="0" w:space="0" w:color="auto"/>
              </w:divBdr>
              <w:divsChild>
                <w:div w:id="10939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066">
      <w:bodyDiv w:val="1"/>
      <w:marLeft w:val="0"/>
      <w:marRight w:val="0"/>
      <w:marTop w:val="0"/>
      <w:marBottom w:val="0"/>
      <w:divBdr>
        <w:top w:val="none" w:sz="0" w:space="0" w:color="auto"/>
        <w:left w:val="none" w:sz="0" w:space="0" w:color="auto"/>
        <w:bottom w:val="none" w:sz="0" w:space="0" w:color="auto"/>
        <w:right w:val="none" w:sz="0" w:space="0" w:color="auto"/>
      </w:divBdr>
      <w:divsChild>
        <w:div w:id="454521876">
          <w:marLeft w:val="0"/>
          <w:marRight w:val="0"/>
          <w:marTop w:val="0"/>
          <w:marBottom w:val="0"/>
          <w:divBdr>
            <w:top w:val="none" w:sz="0" w:space="0" w:color="auto"/>
            <w:left w:val="none" w:sz="0" w:space="0" w:color="auto"/>
            <w:bottom w:val="none" w:sz="0" w:space="0" w:color="auto"/>
            <w:right w:val="none" w:sz="0" w:space="0" w:color="auto"/>
          </w:divBdr>
          <w:divsChild>
            <w:div w:id="1746759158">
              <w:marLeft w:val="0"/>
              <w:marRight w:val="0"/>
              <w:marTop w:val="0"/>
              <w:marBottom w:val="0"/>
              <w:divBdr>
                <w:top w:val="none" w:sz="0" w:space="0" w:color="auto"/>
                <w:left w:val="none" w:sz="0" w:space="0" w:color="auto"/>
                <w:bottom w:val="none" w:sz="0" w:space="0" w:color="auto"/>
                <w:right w:val="none" w:sz="0" w:space="0" w:color="auto"/>
              </w:divBdr>
              <w:divsChild>
                <w:div w:id="1479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2354">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3">
          <w:marLeft w:val="0"/>
          <w:marRight w:val="0"/>
          <w:marTop w:val="0"/>
          <w:marBottom w:val="0"/>
          <w:divBdr>
            <w:top w:val="none" w:sz="0" w:space="0" w:color="auto"/>
            <w:left w:val="none" w:sz="0" w:space="0" w:color="auto"/>
            <w:bottom w:val="none" w:sz="0" w:space="0" w:color="auto"/>
            <w:right w:val="none" w:sz="0" w:space="0" w:color="auto"/>
          </w:divBdr>
          <w:divsChild>
            <w:div w:id="2028095836">
              <w:marLeft w:val="0"/>
              <w:marRight w:val="0"/>
              <w:marTop w:val="0"/>
              <w:marBottom w:val="0"/>
              <w:divBdr>
                <w:top w:val="none" w:sz="0" w:space="0" w:color="auto"/>
                <w:left w:val="none" w:sz="0" w:space="0" w:color="auto"/>
                <w:bottom w:val="none" w:sz="0" w:space="0" w:color="auto"/>
                <w:right w:val="none" w:sz="0" w:space="0" w:color="auto"/>
              </w:divBdr>
              <w:divsChild>
                <w:div w:id="11244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53882">
      <w:bodyDiv w:val="1"/>
      <w:marLeft w:val="0"/>
      <w:marRight w:val="0"/>
      <w:marTop w:val="0"/>
      <w:marBottom w:val="0"/>
      <w:divBdr>
        <w:top w:val="none" w:sz="0" w:space="0" w:color="auto"/>
        <w:left w:val="none" w:sz="0" w:space="0" w:color="auto"/>
        <w:bottom w:val="none" w:sz="0" w:space="0" w:color="auto"/>
        <w:right w:val="none" w:sz="0" w:space="0" w:color="auto"/>
      </w:divBdr>
      <w:divsChild>
        <w:div w:id="1660889526">
          <w:marLeft w:val="0"/>
          <w:marRight w:val="0"/>
          <w:marTop w:val="0"/>
          <w:marBottom w:val="0"/>
          <w:divBdr>
            <w:top w:val="none" w:sz="0" w:space="0" w:color="auto"/>
            <w:left w:val="none" w:sz="0" w:space="0" w:color="auto"/>
            <w:bottom w:val="none" w:sz="0" w:space="0" w:color="auto"/>
            <w:right w:val="none" w:sz="0" w:space="0" w:color="auto"/>
          </w:divBdr>
          <w:divsChild>
            <w:div w:id="1738898550">
              <w:marLeft w:val="0"/>
              <w:marRight w:val="0"/>
              <w:marTop w:val="0"/>
              <w:marBottom w:val="0"/>
              <w:divBdr>
                <w:top w:val="none" w:sz="0" w:space="0" w:color="auto"/>
                <w:left w:val="none" w:sz="0" w:space="0" w:color="auto"/>
                <w:bottom w:val="none" w:sz="0" w:space="0" w:color="auto"/>
                <w:right w:val="none" w:sz="0" w:space="0" w:color="auto"/>
              </w:divBdr>
              <w:divsChild>
                <w:div w:id="13231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3128">
      <w:bodyDiv w:val="1"/>
      <w:marLeft w:val="0"/>
      <w:marRight w:val="0"/>
      <w:marTop w:val="0"/>
      <w:marBottom w:val="0"/>
      <w:divBdr>
        <w:top w:val="none" w:sz="0" w:space="0" w:color="auto"/>
        <w:left w:val="none" w:sz="0" w:space="0" w:color="auto"/>
        <w:bottom w:val="none" w:sz="0" w:space="0" w:color="auto"/>
        <w:right w:val="none" w:sz="0" w:space="0" w:color="auto"/>
      </w:divBdr>
    </w:div>
    <w:div w:id="1114908585">
      <w:bodyDiv w:val="1"/>
      <w:marLeft w:val="0"/>
      <w:marRight w:val="0"/>
      <w:marTop w:val="0"/>
      <w:marBottom w:val="0"/>
      <w:divBdr>
        <w:top w:val="none" w:sz="0" w:space="0" w:color="auto"/>
        <w:left w:val="none" w:sz="0" w:space="0" w:color="auto"/>
        <w:bottom w:val="none" w:sz="0" w:space="0" w:color="auto"/>
        <w:right w:val="none" w:sz="0" w:space="0" w:color="auto"/>
      </w:divBdr>
    </w:div>
    <w:div w:id="1133597546">
      <w:bodyDiv w:val="1"/>
      <w:marLeft w:val="0"/>
      <w:marRight w:val="0"/>
      <w:marTop w:val="0"/>
      <w:marBottom w:val="0"/>
      <w:divBdr>
        <w:top w:val="none" w:sz="0" w:space="0" w:color="auto"/>
        <w:left w:val="none" w:sz="0" w:space="0" w:color="auto"/>
        <w:bottom w:val="none" w:sz="0" w:space="0" w:color="auto"/>
        <w:right w:val="none" w:sz="0" w:space="0" w:color="auto"/>
      </w:divBdr>
    </w:div>
    <w:div w:id="1133869385">
      <w:bodyDiv w:val="1"/>
      <w:marLeft w:val="0"/>
      <w:marRight w:val="0"/>
      <w:marTop w:val="0"/>
      <w:marBottom w:val="0"/>
      <w:divBdr>
        <w:top w:val="none" w:sz="0" w:space="0" w:color="auto"/>
        <w:left w:val="none" w:sz="0" w:space="0" w:color="auto"/>
        <w:bottom w:val="none" w:sz="0" w:space="0" w:color="auto"/>
        <w:right w:val="none" w:sz="0" w:space="0" w:color="auto"/>
      </w:divBdr>
    </w:div>
    <w:div w:id="1148472501">
      <w:bodyDiv w:val="1"/>
      <w:marLeft w:val="0"/>
      <w:marRight w:val="0"/>
      <w:marTop w:val="0"/>
      <w:marBottom w:val="0"/>
      <w:divBdr>
        <w:top w:val="none" w:sz="0" w:space="0" w:color="auto"/>
        <w:left w:val="none" w:sz="0" w:space="0" w:color="auto"/>
        <w:bottom w:val="none" w:sz="0" w:space="0" w:color="auto"/>
        <w:right w:val="none" w:sz="0" w:space="0" w:color="auto"/>
      </w:divBdr>
    </w:div>
    <w:div w:id="1194533262">
      <w:bodyDiv w:val="1"/>
      <w:marLeft w:val="0"/>
      <w:marRight w:val="0"/>
      <w:marTop w:val="0"/>
      <w:marBottom w:val="0"/>
      <w:divBdr>
        <w:top w:val="none" w:sz="0" w:space="0" w:color="auto"/>
        <w:left w:val="none" w:sz="0" w:space="0" w:color="auto"/>
        <w:bottom w:val="none" w:sz="0" w:space="0" w:color="auto"/>
        <w:right w:val="none" w:sz="0" w:space="0" w:color="auto"/>
      </w:divBdr>
    </w:div>
    <w:div w:id="1262029541">
      <w:bodyDiv w:val="1"/>
      <w:marLeft w:val="0"/>
      <w:marRight w:val="0"/>
      <w:marTop w:val="0"/>
      <w:marBottom w:val="0"/>
      <w:divBdr>
        <w:top w:val="none" w:sz="0" w:space="0" w:color="auto"/>
        <w:left w:val="none" w:sz="0" w:space="0" w:color="auto"/>
        <w:bottom w:val="none" w:sz="0" w:space="0" w:color="auto"/>
        <w:right w:val="none" w:sz="0" w:space="0" w:color="auto"/>
      </w:divBdr>
    </w:div>
    <w:div w:id="1286543041">
      <w:bodyDiv w:val="1"/>
      <w:marLeft w:val="0"/>
      <w:marRight w:val="0"/>
      <w:marTop w:val="0"/>
      <w:marBottom w:val="0"/>
      <w:divBdr>
        <w:top w:val="none" w:sz="0" w:space="0" w:color="auto"/>
        <w:left w:val="none" w:sz="0" w:space="0" w:color="auto"/>
        <w:bottom w:val="none" w:sz="0" w:space="0" w:color="auto"/>
        <w:right w:val="none" w:sz="0" w:space="0" w:color="auto"/>
      </w:divBdr>
    </w:div>
    <w:div w:id="1292059135">
      <w:bodyDiv w:val="1"/>
      <w:marLeft w:val="0"/>
      <w:marRight w:val="0"/>
      <w:marTop w:val="0"/>
      <w:marBottom w:val="0"/>
      <w:divBdr>
        <w:top w:val="none" w:sz="0" w:space="0" w:color="auto"/>
        <w:left w:val="none" w:sz="0" w:space="0" w:color="auto"/>
        <w:bottom w:val="none" w:sz="0" w:space="0" w:color="auto"/>
        <w:right w:val="none" w:sz="0" w:space="0" w:color="auto"/>
      </w:divBdr>
    </w:div>
    <w:div w:id="1303653485">
      <w:bodyDiv w:val="1"/>
      <w:marLeft w:val="0"/>
      <w:marRight w:val="0"/>
      <w:marTop w:val="0"/>
      <w:marBottom w:val="0"/>
      <w:divBdr>
        <w:top w:val="none" w:sz="0" w:space="0" w:color="auto"/>
        <w:left w:val="none" w:sz="0" w:space="0" w:color="auto"/>
        <w:bottom w:val="none" w:sz="0" w:space="0" w:color="auto"/>
        <w:right w:val="none" w:sz="0" w:space="0" w:color="auto"/>
      </w:divBdr>
    </w:div>
    <w:div w:id="1338919101">
      <w:bodyDiv w:val="1"/>
      <w:marLeft w:val="0"/>
      <w:marRight w:val="0"/>
      <w:marTop w:val="0"/>
      <w:marBottom w:val="0"/>
      <w:divBdr>
        <w:top w:val="none" w:sz="0" w:space="0" w:color="auto"/>
        <w:left w:val="none" w:sz="0" w:space="0" w:color="auto"/>
        <w:bottom w:val="none" w:sz="0" w:space="0" w:color="auto"/>
        <w:right w:val="none" w:sz="0" w:space="0" w:color="auto"/>
      </w:divBdr>
      <w:divsChild>
        <w:div w:id="311838977">
          <w:marLeft w:val="0"/>
          <w:marRight w:val="0"/>
          <w:marTop w:val="0"/>
          <w:marBottom w:val="0"/>
          <w:divBdr>
            <w:top w:val="none" w:sz="0" w:space="0" w:color="auto"/>
            <w:left w:val="none" w:sz="0" w:space="0" w:color="auto"/>
            <w:bottom w:val="none" w:sz="0" w:space="0" w:color="auto"/>
            <w:right w:val="none" w:sz="0" w:space="0" w:color="auto"/>
          </w:divBdr>
          <w:divsChild>
            <w:div w:id="354230458">
              <w:marLeft w:val="0"/>
              <w:marRight w:val="0"/>
              <w:marTop w:val="0"/>
              <w:marBottom w:val="0"/>
              <w:divBdr>
                <w:top w:val="none" w:sz="0" w:space="0" w:color="auto"/>
                <w:left w:val="none" w:sz="0" w:space="0" w:color="auto"/>
                <w:bottom w:val="none" w:sz="0" w:space="0" w:color="auto"/>
                <w:right w:val="none" w:sz="0" w:space="0" w:color="auto"/>
              </w:divBdr>
              <w:divsChild>
                <w:div w:id="14862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0765">
      <w:bodyDiv w:val="1"/>
      <w:marLeft w:val="0"/>
      <w:marRight w:val="0"/>
      <w:marTop w:val="0"/>
      <w:marBottom w:val="0"/>
      <w:divBdr>
        <w:top w:val="none" w:sz="0" w:space="0" w:color="auto"/>
        <w:left w:val="none" w:sz="0" w:space="0" w:color="auto"/>
        <w:bottom w:val="none" w:sz="0" w:space="0" w:color="auto"/>
        <w:right w:val="none" w:sz="0" w:space="0" w:color="auto"/>
      </w:divBdr>
    </w:div>
    <w:div w:id="1406803556">
      <w:bodyDiv w:val="1"/>
      <w:marLeft w:val="0"/>
      <w:marRight w:val="0"/>
      <w:marTop w:val="0"/>
      <w:marBottom w:val="0"/>
      <w:divBdr>
        <w:top w:val="none" w:sz="0" w:space="0" w:color="auto"/>
        <w:left w:val="none" w:sz="0" w:space="0" w:color="auto"/>
        <w:bottom w:val="none" w:sz="0" w:space="0" w:color="auto"/>
        <w:right w:val="none" w:sz="0" w:space="0" w:color="auto"/>
      </w:divBdr>
      <w:divsChild>
        <w:div w:id="1163623161">
          <w:marLeft w:val="0"/>
          <w:marRight w:val="0"/>
          <w:marTop w:val="0"/>
          <w:marBottom w:val="0"/>
          <w:divBdr>
            <w:top w:val="none" w:sz="0" w:space="0" w:color="auto"/>
            <w:left w:val="none" w:sz="0" w:space="0" w:color="auto"/>
            <w:bottom w:val="none" w:sz="0" w:space="0" w:color="auto"/>
            <w:right w:val="none" w:sz="0" w:space="0" w:color="auto"/>
          </w:divBdr>
          <w:divsChild>
            <w:div w:id="1366371550">
              <w:marLeft w:val="0"/>
              <w:marRight w:val="0"/>
              <w:marTop w:val="0"/>
              <w:marBottom w:val="0"/>
              <w:divBdr>
                <w:top w:val="none" w:sz="0" w:space="0" w:color="auto"/>
                <w:left w:val="none" w:sz="0" w:space="0" w:color="auto"/>
                <w:bottom w:val="none" w:sz="0" w:space="0" w:color="auto"/>
                <w:right w:val="none" w:sz="0" w:space="0" w:color="auto"/>
              </w:divBdr>
              <w:divsChild>
                <w:div w:id="18765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8582">
      <w:bodyDiv w:val="1"/>
      <w:marLeft w:val="0"/>
      <w:marRight w:val="0"/>
      <w:marTop w:val="0"/>
      <w:marBottom w:val="0"/>
      <w:divBdr>
        <w:top w:val="none" w:sz="0" w:space="0" w:color="auto"/>
        <w:left w:val="none" w:sz="0" w:space="0" w:color="auto"/>
        <w:bottom w:val="none" w:sz="0" w:space="0" w:color="auto"/>
        <w:right w:val="none" w:sz="0" w:space="0" w:color="auto"/>
      </w:divBdr>
    </w:div>
    <w:div w:id="1464225909">
      <w:bodyDiv w:val="1"/>
      <w:marLeft w:val="0"/>
      <w:marRight w:val="0"/>
      <w:marTop w:val="0"/>
      <w:marBottom w:val="0"/>
      <w:divBdr>
        <w:top w:val="none" w:sz="0" w:space="0" w:color="auto"/>
        <w:left w:val="none" w:sz="0" w:space="0" w:color="auto"/>
        <w:bottom w:val="none" w:sz="0" w:space="0" w:color="auto"/>
        <w:right w:val="none" w:sz="0" w:space="0" w:color="auto"/>
      </w:divBdr>
    </w:div>
    <w:div w:id="1470201188">
      <w:bodyDiv w:val="1"/>
      <w:marLeft w:val="0"/>
      <w:marRight w:val="0"/>
      <w:marTop w:val="0"/>
      <w:marBottom w:val="0"/>
      <w:divBdr>
        <w:top w:val="none" w:sz="0" w:space="0" w:color="auto"/>
        <w:left w:val="none" w:sz="0" w:space="0" w:color="auto"/>
        <w:bottom w:val="none" w:sz="0" w:space="0" w:color="auto"/>
        <w:right w:val="none" w:sz="0" w:space="0" w:color="auto"/>
      </w:divBdr>
    </w:div>
    <w:div w:id="1552375684">
      <w:bodyDiv w:val="1"/>
      <w:marLeft w:val="0"/>
      <w:marRight w:val="0"/>
      <w:marTop w:val="0"/>
      <w:marBottom w:val="0"/>
      <w:divBdr>
        <w:top w:val="none" w:sz="0" w:space="0" w:color="auto"/>
        <w:left w:val="none" w:sz="0" w:space="0" w:color="auto"/>
        <w:bottom w:val="none" w:sz="0" w:space="0" w:color="auto"/>
        <w:right w:val="none" w:sz="0" w:space="0" w:color="auto"/>
      </w:divBdr>
    </w:div>
    <w:div w:id="1583493880">
      <w:bodyDiv w:val="1"/>
      <w:marLeft w:val="0"/>
      <w:marRight w:val="0"/>
      <w:marTop w:val="0"/>
      <w:marBottom w:val="0"/>
      <w:divBdr>
        <w:top w:val="none" w:sz="0" w:space="0" w:color="auto"/>
        <w:left w:val="none" w:sz="0" w:space="0" w:color="auto"/>
        <w:bottom w:val="none" w:sz="0" w:space="0" w:color="auto"/>
        <w:right w:val="none" w:sz="0" w:space="0" w:color="auto"/>
      </w:divBdr>
    </w:div>
    <w:div w:id="1601447184">
      <w:bodyDiv w:val="1"/>
      <w:marLeft w:val="0"/>
      <w:marRight w:val="0"/>
      <w:marTop w:val="0"/>
      <w:marBottom w:val="0"/>
      <w:divBdr>
        <w:top w:val="none" w:sz="0" w:space="0" w:color="auto"/>
        <w:left w:val="none" w:sz="0" w:space="0" w:color="auto"/>
        <w:bottom w:val="none" w:sz="0" w:space="0" w:color="auto"/>
        <w:right w:val="none" w:sz="0" w:space="0" w:color="auto"/>
      </w:divBdr>
    </w:div>
    <w:div w:id="1665282537">
      <w:bodyDiv w:val="1"/>
      <w:marLeft w:val="0"/>
      <w:marRight w:val="0"/>
      <w:marTop w:val="0"/>
      <w:marBottom w:val="0"/>
      <w:divBdr>
        <w:top w:val="none" w:sz="0" w:space="0" w:color="auto"/>
        <w:left w:val="none" w:sz="0" w:space="0" w:color="auto"/>
        <w:bottom w:val="none" w:sz="0" w:space="0" w:color="auto"/>
        <w:right w:val="none" w:sz="0" w:space="0" w:color="auto"/>
      </w:divBdr>
      <w:divsChild>
        <w:div w:id="388457635">
          <w:marLeft w:val="0"/>
          <w:marRight w:val="0"/>
          <w:marTop w:val="0"/>
          <w:marBottom w:val="0"/>
          <w:divBdr>
            <w:top w:val="none" w:sz="0" w:space="0" w:color="auto"/>
            <w:left w:val="none" w:sz="0" w:space="0" w:color="auto"/>
            <w:bottom w:val="none" w:sz="0" w:space="0" w:color="auto"/>
            <w:right w:val="none" w:sz="0" w:space="0" w:color="auto"/>
          </w:divBdr>
          <w:divsChild>
            <w:div w:id="1058936247">
              <w:marLeft w:val="0"/>
              <w:marRight w:val="0"/>
              <w:marTop w:val="0"/>
              <w:marBottom w:val="0"/>
              <w:divBdr>
                <w:top w:val="none" w:sz="0" w:space="0" w:color="auto"/>
                <w:left w:val="none" w:sz="0" w:space="0" w:color="auto"/>
                <w:bottom w:val="none" w:sz="0" w:space="0" w:color="auto"/>
                <w:right w:val="none" w:sz="0" w:space="0" w:color="auto"/>
              </w:divBdr>
              <w:divsChild>
                <w:div w:id="12463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5227">
      <w:bodyDiv w:val="1"/>
      <w:marLeft w:val="0"/>
      <w:marRight w:val="0"/>
      <w:marTop w:val="0"/>
      <w:marBottom w:val="0"/>
      <w:divBdr>
        <w:top w:val="none" w:sz="0" w:space="0" w:color="auto"/>
        <w:left w:val="none" w:sz="0" w:space="0" w:color="auto"/>
        <w:bottom w:val="none" w:sz="0" w:space="0" w:color="auto"/>
        <w:right w:val="none" w:sz="0" w:space="0" w:color="auto"/>
      </w:divBdr>
    </w:div>
    <w:div w:id="1718696663">
      <w:bodyDiv w:val="1"/>
      <w:marLeft w:val="0"/>
      <w:marRight w:val="0"/>
      <w:marTop w:val="0"/>
      <w:marBottom w:val="0"/>
      <w:divBdr>
        <w:top w:val="none" w:sz="0" w:space="0" w:color="auto"/>
        <w:left w:val="none" w:sz="0" w:space="0" w:color="auto"/>
        <w:bottom w:val="none" w:sz="0" w:space="0" w:color="auto"/>
        <w:right w:val="none" w:sz="0" w:space="0" w:color="auto"/>
      </w:divBdr>
    </w:div>
    <w:div w:id="1724019097">
      <w:bodyDiv w:val="1"/>
      <w:marLeft w:val="0"/>
      <w:marRight w:val="0"/>
      <w:marTop w:val="0"/>
      <w:marBottom w:val="0"/>
      <w:divBdr>
        <w:top w:val="none" w:sz="0" w:space="0" w:color="auto"/>
        <w:left w:val="none" w:sz="0" w:space="0" w:color="auto"/>
        <w:bottom w:val="none" w:sz="0" w:space="0" w:color="auto"/>
        <w:right w:val="none" w:sz="0" w:space="0" w:color="auto"/>
      </w:divBdr>
      <w:divsChild>
        <w:div w:id="1527520928">
          <w:marLeft w:val="0"/>
          <w:marRight w:val="0"/>
          <w:marTop w:val="0"/>
          <w:marBottom w:val="0"/>
          <w:divBdr>
            <w:top w:val="none" w:sz="0" w:space="0" w:color="auto"/>
            <w:left w:val="none" w:sz="0" w:space="0" w:color="auto"/>
            <w:bottom w:val="none" w:sz="0" w:space="0" w:color="auto"/>
            <w:right w:val="none" w:sz="0" w:space="0" w:color="auto"/>
          </w:divBdr>
          <w:divsChild>
            <w:div w:id="1761677913">
              <w:marLeft w:val="0"/>
              <w:marRight w:val="0"/>
              <w:marTop w:val="0"/>
              <w:marBottom w:val="0"/>
              <w:divBdr>
                <w:top w:val="none" w:sz="0" w:space="0" w:color="auto"/>
                <w:left w:val="none" w:sz="0" w:space="0" w:color="auto"/>
                <w:bottom w:val="none" w:sz="0" w:space="0" w:color="auto"/>
                <w:right w:val="none" w:sz="0" w:space="0" w:color="auto"/>
              </w:divBdr>
              <w:divsChild>
                <w:div w:id="19643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77536">
      <w:bodyDiv w:val="1"/>
      <w:marLeft w:val="0"/>
      <w:marRight w:val="0"/>
      <w:marTop w:val="0"/>
      <w:marBottom w:val="0"/>
      <w:divBdr>
        <w:top w:val="none" w:sz="0" w:space="0" w:color="auto"/>
        <w:left w:val="none" w:sz="0" w:space="0" w:color="auto"/>
        <w:bottom w:val="none" w:sz="0" w:space="0" w:color="auto"/>
        <w:right w:val="none" w:sz="0" w:space="0" w:color="auto"/>
      </w:divBdr>
    </w:div>
    <w:div w:id="1802070489">
      <w:bodyDiv w:val="1"/>
      <w:marLeft w:val="0"/>
      <w:marRight w:val="0"/>
      <w:marTop w:val="0"/>
      <w:marBottom w:val="0"/>
      <w:divBdr>
        <w:top w:val="none" w:sz="0" w:space="0" w:color="auto"/>
        <w:left w:val="none" w:sz="0" w:space="0" w:color="auto"/>
        <w:bottom w:val="none" w:sz="0" w:space="0" w:color="auto"/>
        <w:right w:val="none" w:sz="0" w:space="0" w:color="auto"/>
      </w:divBdr>
    </w:div>
    <w:div w:id="1874533777">
      <w:bodyDiv w:val="1"/>
      <w:marLeft w:val="0"/>
      <w:marRight w:val="0"/>
      <w:marTop w:val="0"/>
      <w:marBottom w:val="0"/>
      <w:divBdr>
        <w:top w:val="none" w:sz="0" w:space="0" w:color="auto"/>
        <w:left w:val="none" w:sz="0" w:space="0" w:color="auto"/>
        <w:bottom w:val="none" w:sz="0" w:space="0" w:color="auto"/>
        <w:right w:val="none" w:sz="0" w:space="0" w:color="auto"/>
      </w:divBdr>
    </w:div>
    <w:div w:id="1893034317">
      <w:bodyDiv w:val="1"/>
      <w:marLeft w:val="0"/>
      <w:marRight w:val="0"/>
      <w:marTop w:val="0"/>
      <w:marBottom w:val="0"/>
      <w:divBdr>
        <w:top w:val="none" w:sz="0" w:space="0" w:color="auto"/>
        <w:left w:val="none" w:sz="0" w:space="0" w:color="auto"/>
        <w:bottom w:val="none" w:sz="0" w:space="0" w:color="auto"/>
        <w:right w:val="none" w:sz="0" w:space="0" w:color="auto"/>
      </w:divBdr>
      <w:divsChild>
        <w:div w:id="1161460130">
          <w:marLeft w:val="0"/>
          <w:marRight w:val="0"/>
          <w:marTop w:val="0"/>
          <w:marBottom w:val="0"/>
          <w:divBdr>
            <w:top w:val="none" w:sz="0" w:space="0" w:color="auto"/>
            <w:left w:val="none" w:sz="0" w:space="0" w:color="auto"/>
            <w:bottom w:val="none" w:sz="0" w:space="0" w:color="auto"/>
            <w:right w:val="none" w:sz="0" w:space="0" w:color="auto"/>
          </w:divBdr>
          <w:divsChild>
            <w:div w:id="1704984838">
              <w:marLeft w:val="0"/>
              <w:marRight w:val="0"/>
              <w:marTop w:val="0"/>
              <w:marBottom w:val="0"/>
              <w:divBdr>
                <w:top w:val="none" w:sz="0" w:space="0" w:color="auto"/>
                <w:left w:val="none" w:sz="0" w:space="0" w:color="auto"/>
                <w:bottom w:val="none" w:sz="0" w:space="0" w:color="auto"/>
                <w:right w:val="none" w:sz="0" w:space="0" w:color="auto"/>
              </w:divBdr>
              <w:divsChild>
                <w:div w:id="6476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6443">
      <w:bodyDiv w:val="1"/>
      <w:marLeft w:val="0"/>
      <w:marRight w:val="0"/>
      <w:marTop w:val="0"/>
      <w:marBottom w:val="0"/>
      <w:divBdr>
        <w:top w:val="none" w:sz="0" w:space="0" w:color="auto"/>
        <w:left w:val="none" w:sz="0" w:space="0" w:color="auto"/>
        <w:bottom w:val="none" w:sz="0" w:space="0" w:color="auto"/>
        <w:right w:val="none" w:sz="0" w:space="0" w:color="auto"/>
      </w:divBdr>
      <w:divsChild>
        <w:div w:id="93601022">
          <w:marLeft w:val="0"/>
          <w:marRight w:val="0"/>
          <w:marTop w:val="0"/>
          <w:marBottom w:val="0"/>
          <w:divBdr>
            <w:top w:val="none" w:sz="0" w:space="0" w:color="auto"/>
            <w:left w:val="none" w:sz="0" w:space="0" w:color="auto"/>
            <w:bottom w:val="none" w:sz="0" w:space="0" w:color="auto"/>
            <w:right w:val="none" w:sz="0" w:space="0" w:color="auto"/>
          </w:divBdr>
          <w:divsChild>
            <w:div w:id="255748687">
              <w:marLeft w:val="0"/>
              <w:marRight w:val="0"/>
              <w:marTop w:val="0"/>
              <w:marBottom w:val="0"/>
              <w:divBdr>
                <w:top w:val="none" w:sz="0" w:space="0" w:color="auto"/>
                <w:left w:val="none" w:sz="0" w:space="0" w:color="auto"/>
                <w:bottom w:val="none" w:sz="0" w:space="0" w:color="auto"/>
                <w:right w:val="none" w:sz="0" w:space="0" w:color="auto"/>
              </w:divBdr>
              <w:divsChild>
                <w:div w:id="4009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6732">
      <w:bodyDiv w:val="1"/>
      <w:marLeft w:val="0"/>
      <w:marRight w:val="0"/>
      <w:marTop w:val="0"/>
      <w:marBottom w:val="0"/>
      <w:divBdr>
        <w:top w:val="none" w:sz="0" w:space="0" w:color="auto"/>
        <w:left w:val="none" w:sz="0" w:space="0" w:color="auto"/>
        <w:bottom w:val="none" w:sz="0" w:space="0" w:color="auto"/>
        <w:right w:val="none" w:sz="0" w:space="0" w:color="auto"/>
      </w:divBdr>
    </w:div>
    <w:div w:id="2087921589">
      <w:bodyDiv w:val="1"/>
      <w:marLeft w:val="0"/>
      <w:marRight w:val="0"/>
      <w:marTop w:val="0"/>
      <w:marBottom w:val="0"/>
      <w:divBdr>
        <w:top w:val="none" w:sz="0" w:space="0" w:color="auto"/>
        <w:left w:val="none" w:sz="0" w:space="0" w:color="auto"/>
        <w:bottom w:val="none" w:sz="0" w:space="0" w:color="auto"/>
        <w:right w:val="none" w:sz="0" w:space="0" w:color="auto"/>
      </w:divBdr>
    </w:div>
    <w:div w:id="2139715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statistics/individuals-referred-to-and-supported-through-the-prevent-programme-april-2017-to-march-2018" TargetMode="External"/><Relationship Id="rId13" Type="http://schemas.openxmlformats.org/officeDocument/2006/relationships/hyperlink" Target="https://www.theguardian.com/uk-news/2021/jun/27/boy-11-referred-to-prevent-for-wanting-to-give-alms-to-the-oppressed" TargetMode="External"/><Relationship Id="rId18" Type="http://schemas.openxmlformats.org/officeDocument/2006/relationships/hyperlink" Target="https://www.cbsnews.com/news/mcveigh-vents-on-60-minutes/" TargetMode="External"/><Relationship Id="rId3" Type="http://schemas.openxmlformats.org/officeDocument/2006/relationships/hyperlink" Target="https://www.gov.uk/government/speeches/extremism-pm-speech" TargetMode="External"/><Relationship Id="rId7" Type="http://schemas.openxmlformats.org/officeDocument/2006/relationships/hyperlink" Target="https://www.gov.uk/government/statistics/operation-of-police-powers-under-the-terrorism-act-2000-quarterly-update-to-december-2020/operation-of-police-powers-under-the-terrorism-act-2000-and-subsequent-legislation-arrests-outcomes-and-stop-and-search-great-britain-year-ending" TargetMode="External"/><Relationship Id="rId12" Type="http://schemas.openxmlformats.org/officeDocument/2006/relationships/hyperlink" Target="https://www.elearning.prevent.homeoffice.gov.uk/edu/screen1.html" TargetMode="External"/><Relationship Id="rId17" Type="http://schemas.openxmlformats.org/officeDocument/2006/relationships/hyperlink" Target="https://borealisthreatandrisk.com/do-prevent-type-ct-programmes-really-work/" TargetMode="External"/><Relationship Id="rId2" Type="http://schemas.openxmlformats.org/officeDocument/2006/relationships/hyperlink" Target="https://www.thetimes.co.uk/article/priti-patel-to-overhaul-prevent-counter-terror-programme-vrj5t3sh7?shareToken=944525c50aaaa17c931eead2fd788a95" TargetMode="External"/><Relationship Id="rId16" Type="http://schemas.openxmlformats.org/officeDocument/2006/relationships/hyperlink" Target="https://www.bbc.com/news/uk-england-manchester-60391622" TargetMode="External"/><Relationship Id="rId20" Type="http://schemas.openxmlformats.org/officeDocument/2006/relationships/hyperlink" Target="https://www.cnn.com/2020/07/25/politics/us-protests-trump-terrorists-intl/index.html" TargetMode="External"/><Relationship Id="rId1" Type="http://schemas.openxmlformats.org/officeDocument/2006/relationships/hyperlink" Target="https://www.theguardian.com/uk-news/2021/oct/19/david-amess-killing-suspect-referred-to-channel-counter-terror-scheme-in-2014" TargetMode="External"/><Relationship Id="rId6" Type="http://schemas.openxmlformats.org/officeDocument/2006/relationships/hyperlink" Target="https://www.elearning.prevent.homeoffice.gov.uk/edu/screen1.html" TargetMode="External"/><Relationship Id="rId11" Type="http://schemas.openxmlformats.org/officeDocument/2006/relationships/hyperlink" Target="https://www.theguardian.com/uk-news/2021/oct/19/david-amess-killing-suspect-referred-to-channel-counter-terror-scheme-in-2014" TargetMode="External"/><Relationship Id="rId5" Type="http://schemas.openxmlformats.org/officeDocument/2006/relationships/hyperlink" Target="http://www.theguardian.com/politics/2022/aug/02/former-counter-terrorism-police-chief-attacks-rishi-sunaks-prevent-plans" TargetMode="External"/><Relationship Id="rId15" Type="http://schemas.openxmlformats.org/officeDocument/2006/relationships/hyperlink" Target="https://www.unicef.org/child-rights-convention" TargetMode="External"/><Relationship Id="rId10" Type="http://schemas.openxmlformats.org/officeDocument/2006/relationships/hyperlink" Target="https://www.gov.uk/government/publications/counter-terrorism-and-border-security-bill-2018-factsheets/prevent-and-channel-panel-factsheet-accessible-version" TargetMode="External"/><Relationship Id="rId19" Type="http://schemas.openxmlformats.org/officeDocument/2006/relationships/hyperlink" Target="http://www.theguardian.com/politics/2022/aug/02/former-counter-terrorism-police-chief-attacks-rishi-sunaks-prevent-plans" TargetMode="External"/><Relationship Id="rId4" Type="http://schemas.openxmlformats.org/officeDocument/2006/relationships/hyperlink" Target="https://www.gov.uk/government/publications/prevent-duty-guidance/revised-prevent-duty-guidance-for-england-and-wales" TargetMode="External"/><Relationship Id="rId9" Type="http://schemas.openxmlformats.org/officeDocument/2006/relationships/hyperlink" Target="https://www.gov.uk/government/statistics/operation-of-police-powers-under-the-terrorism-act-2000-quarterly-update-to-december-2020/operation-of-police-powers-under-the-terrorism-act-2000-and-subsequent-legislation-arrests-outcomes-and-stop-and-search-great-britain-year-ending" TargetMode="External"/><Relationship Id="rId14" Type="http://schemas.openxmlformats.org/officeDocument/2006/relationships/hyperlink" Target="https://www.theguardian.com/uk-news/2021/jun/27/boy-11-referred-to-prevent-for-wanting-to-give-alms-to-the-oppre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4502</TotalTime>
  <Pages>20</Pages>
  <Words>9105</Words>
  <Characters>51899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Parker</dc:creator>
  <cp:keywords/>
  <dc:description/>
  <cp:lastModifiedBy>Thomas Parker</cp:lastModifiedBy>
  <cp:revision>175</cp:revision>
  <cp:lastPrinted>2022-08-12T18:28:00Z</cp:lastPrinted>
  <dcterms:created xsi:type="dcterms:W3CDTF">2022-03-19T00:56:00Z</dcterms:created>
  <dcterms:modified xsi:type="dcterms:W3CDTF">2022-08-22T20:52:00Z</dcterms:modified>
</cp:coreProperties>
</file>