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3F93" w:rsidRPr="00043F93" w:rsidRDefault="00043F93" w:rsidP="00043F93">
      <w:pPr>
        <w:spacing w:line="240" w:lineRule="auto"/>
        <w:jc w:val="center"/>
        <w:rPr>
          <w:rFonts w:ascii="Times New Roman" w:eastAsia="Times New Roman" w:hAnsi="Times New Roman" w:cs="Times New Roman"/>
          <w:b/>
          <w:iCs/>
          <w:color w:val="000000"/>
          <w:sz w:val="24"/>
          <w:szCs w:val="24"/>
          <w:lang w:val="en-US" w:eastAsia="en-CA"/>
        </w:rPr>
      </w:pPr>
      <w:r w:rsidRPr="00043F93">
        <w:rPr>
          <w:rFonts w:ascii="Calibri" w:hAnsi="Calibri" w:cs="Calibri"/>
          <w:b/>
          <w:lang w:val="en-US"/>
        </w:rPr>
        <w:t>Summary prepared by Sheller</w:t>
      </w:r>
      <w:r>
        <w:rPr>
          <w:rFonts w:ascii="Calibri" w:hAnsi="Calibri" w:cs="Calibri"/>
          <w:b/>
          <w:lang w:val="en-US"/>
        </w:rPr>
        <w:t>, P.C.</w:t>
      </w:r>
      <w:r w:rsidRPr="00043F93">
        <w:rPr>
          <w:rFonts w:ascii="Calibri" w:hAnsi="Calibri" w:cs="Calibri"/>
          <w:b/>
          <w:lang w:val="en-US"/>
        </w:rPr>
        <w:t xml:space="preserve"> Law Firm</w:t>
      </w:r>
      <w:bookmarkStart w:id="0" w:name="_GoBack"/>
      <w:bookmarkEnd w:id="0"/>
      <w:r w:rsidRPr="00043F93">
        <w:rPr>
          <w:rFonts w:ascii="Calibri" w:hAnsi="Calibri" w:cs="Calibri"/>
          <w:b/>
          <w:lang w:val="en-US"/>
        </w:rPr>
        <w:t xml:space="preserve">: </w:t>
      </w:r>
      <w:r w:rsidRPr="00043F93">
        <w:rPr>
          <w:rFonts w:ascii="Calibri" w:hAnsi="Calibri" w:cs="Calibri"/>
          <w:b/>
          <w:lang w:val="en-US"/>
        </w:rPr>
        <w:t>orders by the courts in NJ &amp; PA keeping critical documents sealed from the public in the Risperdal Litigation</w:t>
      </w:r>
    </w:p>
    <w:p w:rsidR="00043F93" w:rsidRPr="00043F93" w:rsidRDefault="00043F93" w:rsidP="00043F93">
      <w:pPr>
        <w:spacing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i/>
          <w:iCs/>
          <w:color w:val="000000"/>
          <w:sz w:val="24"/>
          <w:szCs w:val="24"/>
          <w:lang w:val="en-US" w:eastAsia="en-CA"/>
        </w:rPr>
        <w:t>In re Risperdal/Seroquel/Zyprexa Litigation</w:t>
      </w:r>
      <w:r w:rsidRPr="00043F93">
        <w:rPr>
          <w:rFonts w:ascii="Times New Roman" w:eastAsia="Times New Roman" w:hAnsi="Times New Roman" w:cs="Times New Roman"/>
          <w:color w:val="000000"/>
          <w:sz w:val="24"/>
          <w:szCs w:val="24"/>
          <w:lang w:val="en-US" w:eastAsia="en-CA"/>
        </w:rPr>
        <w:t>, New Jersey</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1/5/2010 –Order from the Superior Court of New Jersey Appellate Division denying Plaintiff’s Motion for Leave to Appeal</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12/11/2009- Brief of Defendants in Opposition to Plaintiff-Movants’ Motion for Leave to Appeal from an Interlocutory Order of the Trial Court.</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12/1/2009 – Plaintiffs’ Amended Notice of Motion for Leave to Appeal Interlocutory Order of Trial Court maintaining the confidentiality of certain documents.</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 xml:space="preserve">10/30/2009 – Order from the Superior Court of New Jersey Law Division </w:t>
      </w:r>
      <w:proofErr w:type="gramStart"/>
      <w:r w:rsidRPr="00043F93">
        <w:rPr>
          <w:rFonts w:ascii="Times New Roman" w:eastAsia="Times New Roman" w:hAnsi="Times New Roman" w:cs="Times New Roman"/>
          <w:color w:val="000000"/>
          <w:sz w:val="24"/>
          <w:szCs w:val="24"/>
          <w:lang w:val="en-US" w:eastAsia="en-CA"/>
        </w:rPr>
        <w:t>granting</w:t>
      </w:r>
      <w:proofErr w:type="gramEnd"/>
      <w:r w:rsidRPr="00043F93">
        <w:rPr>
          <w:rFonts w:ascii="Times New Roman" w:eastAsia="Times New Roman" w:hAnsi="Times New Roman" w:cs="Times New Roman"/>
          <w:color w:val="000000"/>
          <w:sz w:val="24"/>
          <w:szCs w:val="24"/>
          <w:lang w:val="en-US" w:eastAsia="en-CA"/>
        </w:rPr>
        <w:t xml:space="preserve"> Defendants’ Motion and Entering Order to maintain the confidentiality of certain documents.</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9/11/2009- Reply Brief of Defendants in Support of Motion to Maintain Confidentiality</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9/3/2009 – Plaintiffs’ Response in Opposition to Defendants’ Motion to Maintain Confidentiality of Documents</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8/26/2009 – Defendants’ Brief in Support of Motion to Maintain the Confidentiality of Documents</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7/8/2009- Plaintiffs’ letter to Court regarding Motion to Declassify documents.</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7/27/2009 –Special Master’s Decision on Protective Order to Declassify Certain Protected Documents holding that the documents and deposition testimony at issue should not be designated as confidential.</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6/29/2009- Plaintiffs’ Reply in Support of their Request to Remove the Confidentiality Designation from Certain Documents and Testimony Produced by the Defendants</w:t>
      </w:r>
    </w:p>
    <w:p w:rsidR="00043F93" w:rsidRPr="00043F93" w:rsidRDefault="00043F93" w:rsidP="00043F93">
      <w:pPr>
        <w:spacing w:line="240" w:lineRule="auto"/>
        <w:ind w:hanging="360"/>
        <w:rPr>
          <w:rFonts w:ascii="Times New Roman" w:eastAsia="Times New Roman" w:hAnsi="Times New Roman" w:cs="Times New Roman"/>
          <w:sz w:val="24"/>
          <w:szCs w:val="24"/>
          <w:lang w:val="en-US" w:eastAsia="en-CA"/>
        </w:rPr>
      </w:pPr>
      <w:r w:rsidRPr="00043F93">
        <w:rPr>
          <w:rFonts w:ascii="Symbol" w:eastAsia="Times New Roman" w:hAnsi="Symbol" w:cs="Times New Roman"/>
          <w:color w:val="000000"/>
          <w:sz w:val="24"/>
          <w:szCs w:val="24"/>
          <w:lang w:val="en-US" w:eastAsia="en-CA"/>
        </w:rPr>
        <w:t></w:t>
      </w:r>
      <w:r w:rsidRPr="00043F93">
        <w:rPr>
          <w:rFonts w:ascii="Times New Roman" w:eastAsia="Times New Roman" w:hAnsi="Times New Roman" w:cs="Times New Roman"/>
          <w:color w:val="000000"/>
          <w:sz w:val="14"/>
          <w:szCs w:val="14"/>
          <w:lang w:val="en-US" w:eastAsia="en-CA"/>
        </w:rPr>
        <w:t>         </w:t>
      </w:r>
      <w:r w:rsidRPr="00043F93">
        <w:rPr>
          <w:rFonts w:ascii="Times New Roman" w:eastAsia="Times New Roman" w:hAnsi="Times New Roman" w:cs="Times New Roman"/>
          <w:color w:val="000000"/>
          <w:sz w:val="24"/>
          <w:szCs w:val="24"/>
          <w:lang w:val="en-US" w:eastAsia="en-CA"/>
        </w:rPr>
        <w:t>6/24/2009- Defendants’ Opposition to Plaintiffs’ Application to Declassify Certain Protected Documents</w:t>
      </w:r>
    </w:p>
    <w:p w:rsidR="00043F93" w:rsidRPr="00043F93" w:rsidRDefault="00043F93" w:rsidP="00043F93">
      <w:p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 </w:t>
      </w:r>
    </w:p>
    <w:p w:rsidR="00043F93" w:rsidRPr="00043F93" w:rsidRDefault="00043F93" w:rsidP="00043F93">
      <w:pPr>
        <w:spacing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i/>
          <w:iCs/>
          <w:color w:val="000000"/>
          <w:sz w:val="24"/>
          <w:szCs w:val="24"/>
          <w:lang w:val="en-US" w:eastAsia="en-CA"/>
        </w:rPr>
        <w:t>In re Risperdal Litigation, </w:t>
      </w:r>
      <w:r w:rsidRPr="00043F93">
        <w:rPr>
          <w:rFonts w:ascii="Times New Roman" w:eastAsia="Times New Roman" w:hAnsi="Times New Roman" w:cs="Times New Roman"/>
          <w:color w:val="000000"/>
          <w:sz w:val="24"/>
          <w:szCs w:val="24"/>
          <w:lang w:val="en-US" w:eastAsia="en-CA"/>
        </w:rPr>
        <w:t>Philadelphia</w:t>
      </w:r>
    </w:p>
    <w:p w:rsidR="00043F93" w:rsidRPr="00043F93" w:rsidRDefault="00043F93" w:rsidP="00043F93">
      <w:pPr>
        <w:numPr>
          <w:ilvl w:val="0"/>
          <w:numId w:val="1"/>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4/13/2011-CM0 No. 4</w:t>
      </w:r>
    </w:p>
    <w:p w:rsidR="00043F93" w:rsidRPr="00043F93" w:rsidRDefault="00043F93" w:rsidP="00043F93">
      <w:pPr>
        <w:numPr>
          <w:ilvl w:val="0"/>
          <w:numId w:val="1"/>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10/19/2011</w:t>
      </w:r>
      <w:proofErr w:type="gramStart"/>
      <w:r w:rsidRPr="00043F93">
        <w:rPr>
          <w:rFonts w:ascii="Times New Roman" w:eastAsia="Times New Roman" w:hAnsi="Times New Roman" w:cs="Times New Roman"/>
          <w:color w:val="000000"/>
          <w:sz w:val="24"/>
          <w:szCs w:val="24"/>
          <w:lang w:val="en-US" w:eastAsia="en-CA"/>
        </w:rPr>
        <w:softHyphen/>
        <w:t>”Defendants</w:t>
      </w:r>
      <w:proofErr w:type="gramEnd"/>
      <w:r w:rsidRPr="00043F93">
        <w:rPr>
          <w:rFonts w:ascii="Times New Roman" w:eastAsia="Times New Roman" w:hAnsi="Times New Roman" w:cs="Times New Roman"/>
          <w:color w:val="000000"/>
          <w:sz w:val="24"/>
          <w:szCs w:val="24"/>
          <w:lang w:val="en-US" w:eastAsia="en-CA"/>
        </w:rPr>
        <w:t xml:space="preserve"> Ortho-McNeil-Janssen Pharmaceuticals, Inc.’s, Johnson &amp; Johnson Company’s, and Johnson &amp; Johnson Research &amp; Development, L.L.C.’s Motion to Maintain the Confidentiality of Certain Documents.”  This was in response to Plaintiff’s challenge to CMO 4 and the confidentiality of certain documents. </w:t>
      </w:r>
    </w:p>
    <w:p w:rsidR="00043F93" w:rsidRPr="00043F93" w:rsidRDefault="00043F93" w:rsidP="00043F93">
      <w:pPr>
        <w:numPr>
          <w:ilvl w:val="0"/>
          <w:numId w:val="1"/>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 xml:space="preserve">12/16/2011- Judge Moss grants Defendants’ Motion and enters </w:t>
      </w:r>
      <w:proofErr w:type="gramStart"/>
      <w:r w:rsidRPr="00043F93">
        <w:rPr>
          <w:rFonts w:ascii="Times New Roman" w:eastAsia="Times New Roman" w:hAnsi="Times New Roman" w:cs="Times New Roman"/>
          <w:color w:val="000000"/>
          <w:sz w:val="24"/>
          <w:szCs w:val="24"/>
          <w:lang w:val="en-US" w:eastAsia="en-CA"/>
        </w:rPr>
        <w:t>an  Order</w:t>
      </w:r>
      <w:proofErr w:type="gramEnd"/>
      <w:r w:rsidRPr="00043F93">
        <w:rPr>
          <w:rFonts w:ascii="Times New Roman" w:eastAsia="Times New Roman" w:hAnsi="Times New Roman" w:cs="Times New Roman"/>
          <w:color w:val="000000"/>
          <w:sz w:val="24"/>
          <w:szCs w:val="24"/>
          <w:lang w:val="en-US" w:eastAsia="en-CA"/>
        </w:rPr>
        <w:t xml:space="preserve"> to maintain the confidentiality of the documents.</w:t>
      </w:r>
    </w:p>
    <w:p w:rsidR="00043F93" w:rsidRPr="00043F93" w:rsidRDefault="00043F93" w:rsidP="00043F93">
      <w:pPr>
        <w:numPr>
          <w:ilvl w:val="0"/>
          <w:numId w:val="1"/>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11/6/2013- Letter from Chris Gomez to Ken Murphy requesting, among other things, that Janssen remove the “Confidential” designation from the reanalysis of the clinical data so that the medical community can study this data and report its findings to the public.</w:t>
      </w:r>
    </w:p>
    <w:p w:rsidR="00043F93" w:rsidRPr="00043F93" w:rsidRDefault="00043F93" w:rsidP="00043F93">
      <w:pPr>
        <w:numPr>
          <w:ilvl w:val="0"/>
          <w:numId w:val="1"/>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 xml:space="preserve">12/9/2013- “Defendants Janssen Pharmaceuticals, Inc.; Johnson &amp; Johnson; and Janssen Research &amp; Development, LLC’s Motion to Maintain the Confidentiality of Certain </w:t>
      </w:r>
      <w:r w:rsidRPr="00043F93">
        <w:rPr>
          <w:rFonts w:ascii="Times New Roman" w:eastAsia="Times New Roman" w:hAnsi="Times New Roman" w:cs="Times New Roman"/>
          <w:color w:val="000000"/>
          <w:sz w:val="24"/>
          <w:szCs w:val="24"/>
          <w:lang w:val="en-US" w:eastAsia="en-CA"/>
        </w:rPr>
        <w:lastRenderedPageBreak/>
        <w:t>Documents.” This was in response to Plaintiff’s second challenge to CMO 4 and the confidentiality of certain documents. </w:t>
      </w:r>
    </w:p>
    <w:p w:rsidR="00043F93" w:rsidRPr="00043F93" w:rsidRDefault="00043F93" w:rsidP="00043F93">
      <w:pPr>
        <w:numPr>
          <w:ilvl w:val="0"/>
          <w:numId w:val="1"/>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3/13/2014 – Judge New grants the Defendants’ motion and entered an Order to Maintain the Confidentiality of Certain Documents</w:t>
      </w:r>
    </w:p>
    <w:p w:rsidR="00043F93" w:rsidRPr="00043F93" w:rsidRDefault="00043F93" w:rsidP="00043F93">
      <w:pPr>
        <w:numPr>
          <w:ilvl w:val="0"/>
          <w:numId w:val="1"/>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 xml:space="preserve">6/2015, Ivo </w:t>
      </w:r>
      <w:proofErr w:type="spellStart"/>
      <w:r w:rsidRPr="00043F93">
        <w:rPr>
          <w:rFonts w:ascii="Times New Roman" w:eastAsia="Times New Roman" w:hAnsi="Times New Roman" w:cs="Times New Roman"/>
          <w:color w:val="000000"/>
          <w:sz w:val="24"/>
          <w:szCs w:val="24"/>
          <w:lang w:val="en-US" w:eastAsia="en-CA"/>
        </w:rPr>
        <w:t>Caers</w:t>
      </w:r>
      <w:proofErr w:type="spellEnd"/>
      <w:r w:rsidRPr="00043F93">
        <w:rPr>
          <w:rFonts w:ascii="Times New Roman" w:eastAsia="Times New Roman" w:hAnsi="Times New Roman" w:cs="Times New Roman"/>
          <w:color w:val="000000"/>
          <w:sz w:val="24"/>
          <w:szCs w:val="24"/>
          <w:lang w:val="en-US" w:eastAsia="en-CA"/>
        </w:rPr>
        <w:t>, a Vice President at Janssen admitted in testimony at trial that Janssen had failed to provide the FDA with clinical data demonstrating a link between Risperdal and gynecomastia.</w:t>
      </w:r>
    </w:p>
    <w:p w:rsidR="00043F93" w:rsidRPr="00043F93" w:rsidRDefault="00043F93" w:rsidP="00043F93">
      <w:pPr>
        <w:spacing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i/>
          <w:iCs/>
          <w:color w:val="000000"/>
          <w:sz w:val="24"/>
          <w:szCs w:val="24"/>
          <w:lang w:val="en-US" w:eastAsia="en-CA"/>
        </w:rPr>
        <w:t> </w:t>
      </w:r>
    </w:p>
    <w:p w:rsidR="00043F93" w:rsidRPr="00043F93" w:rsidRDefault="00043F93" w:rsidP="00043F93">
      <w:pPr>
        <w:spacing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i/>
          <w:iCs/>
          <w:color w:val="000000"/>
          <w:sz w:val="24"/>
          <w:szCs w:val="24"/>
          <w:lang w:val="en-US" w:eastAsia="en-CA"/>
        </w:rPr>
        <w:t>Elmore v. Janssen</w:t>
      </w:r>
      <w:r w:rsidRPr="00043F93">
        <w:rPr>
          <w:rFonts w:ascii="Times New Roman" w:eastAsia="Times New Roman" w:hAnsi="Times New Roman" w:cs="Times New Roman"/>
          <w:color w:val="000000"/>
          <w:sz w:val="24"/>
          <w:szCs w:val="24"/>
          <w:lang w:val="en-US" w:eastAsia="en-CA"/>
        </w:rPr>
        <w:t>, Texas</w:t>
      </w:r>
    </w:p>
    <w:p w:rsidR="00043F93" w:rsidRPr="00043F93" w:rsidRDefault="00043F93" w:rsidP="00043F93">
      <w:pPr>
        <w:numPr>
          <w:ilvl w:val="0"/>
          <w:numId w:val="2"/>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5/13/2013 – Interrogatory Responses indicating that certain documents were not provided to the FDA</w:t>
      </w:r>
    </w:p>
    <w:p w:rsidR="00043F93" w:rsidRPr="00043F93" w:rsidRDefault="00043F93" w:rsidP="00043F93">
      <w:pPr>
        <w:numPr>
          <w:ilvl w:val="0"/>
          <w:numId w:val="2"/>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8/14/2013 – “Emergency Motion to Dissolve the Protective Order as a Matter of Public Justice and Safety to Allow Immediate Notice to the FDA and the Journal of Clinical Psychology and to the Treating Pediatricians of Texas and Motion to Shorten the Time of the Hearing” was filed.</w:t>
      </w:r>
    </w:p>
    <w:p w:rsidR="00043F93" w:rsidRPr="00043F93" w:rsidRDefault="00043F93" w:rsidP="00043F93">
      <w:pPr>
        <w:spacing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 </w:t>
      </w:r>
    </w:p>
    <w:p w:rsidR="00043F93" w:rsidRPr="00043F93" w:rsidRDefault="00043F93" w:rsidP="00043F93">
      <w:pPr>
        <w:spacing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i/>
          <w:iCs/>
          <w:color w:val="000000"/>
          <w:sz w:val="24"/>
          <w:szCs w:val="24"/>
          <w:lang w:val="en-US" w:eastAsia="en-CA"/>
        </w:rPr>
        <w:t>Citizen Petition</w:t>
      </w:r>
    </w:p>
    <w:p w:rsidR="00043F93" w:rsidRPr="00043F93" w:rsidRDefault="00043F93" w:rsidP="00043F93">
      <w:pPr>
        <w:numPr>
          <w:ilvl w:val="0"/>
          <w:numId w:val="3"/>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7/27/2012 Because of its knowledge of the dangers of the Risperdal, and its firsthand knowledge of the irreversible and traumatic effects suffered by its clients, on July 27, 2012, Sheller filed the Petition with the FDA.  </w:t>
      </w:r>
      <w:r w:rsidRPr="00043F93">
        <w:rPr>
          <w:rFonts w:ascii="Times New Roman" w:eastAsia="Times New Roman" w:hAnsi="Times New Roman" w:cs="Times New Roman"/>
          <w:i/>
          <w:iCs/>
          <w:color w:val="000000"/>
          <w:sz w:val="24"/>
          <w:szCs w:val="24"/>
          <w:lang w:val="en-US" w:eastAsia="en-CA"/>
        </w:rPr>
        <w:t>See </w:t>
      </w:r>
      <w:r w:rsidRPr="00043F93">
        <w:rPr>
          <w:rFonts w:ascii="Times New Roman" w:eastAsia="Times New Roman" w:hAnsi="Times New Roman" w:cs="Times New Roman"/>
          <w:color w:val="000000"/>
          <w:sz w:val="24"/>
          <w:szCs w:val="24"/>
          <w:lang w:val="en-US" w:eastAsia="en-CA"/>
        </w:rPr>
        <w:t>21 C.F.R. § 10.30. The Petition requested that the FDA revoke the pediatric indication for the Risperdal Drugs until their safety could be established or, in the alternative, require their labels to adequately warn of the drugs’ prolactin-related adverse effects so that they would no longer be misbranded.  The Petition also requested the FDA to direct Janssen to permit Sheller to disclose to the FDA confidential documents that Sheller had obtained in discovery.  In the alternative, Sheller requested that the FDA obtain these documents itself from Janssen and make them available to Sheller for </w:t>
      </w:r>
      <w:r w:rsidRPr="00043F93">
        <w:rPr>
          <w:rFonts w:ascii="Times New Roman" w:eastAsia="Times New Roman" w:hAnsi="Times New Roman" w:cs="Times New Roman"/>
          <w:i/>
          <w:iCs/>
          <w:color w:val="000000"/>
          <w:sz w:val="24"/>
          <w:szCs w:val="24"/>
          <w:lang w:val="en-US" w:eastAsia="en-CA"/>
        </w:rPr>
        <w:t>in camera</w:t>
      </w:r>
      <w:r w:rsidRPr="00043F93">
        <w:rPr>
          <w:rFonts w:ascii="Times New Roman" w:eastAsia="Times New Roman" w:hAnsi="Times New Roman" w:cs="Times New Roman"/>
          <w:color w:val="000000"/>
          <w:sz w:val="24"/>
          <w:szCs w:val="24"/>
          <w:lang w:val="en-US" w:eastAsia="en-CA"/>
        </w:rPr>
        <w:t xml:space="preserve"> review so that Sheller could verify their completeness.  The FDA allowed and even solicited ex </w:t>
      </w:r>
      <w:proofErr w:type="spellStart"/>
      <w:r w:rsidRPr="00043F93">
        <w:rPr>
          <w:rFonts w:ascii="Times New Roman" w:eastAsia="Times New Roman" w:hAnsi="Times New Roman" w:cs="Times New Roman"/>
          <w:color w:val="000000"/>
          <w:sz w:val="24"/>
          <w:szCs w:val="24"/>
          <w:lang w:val="en-US" w:eastAsia="en-CA"/>
        </w:rPr>
        <w:t>parte</w:t>
      </w:r>
      <w:proofErr w:type="spellEnd"/>
      <w:r w:rsidRPr="00043F93">
        <w:rPr>
          <w:rFonts w:ascii="Times New Roman" w:eastAsia="Times New Roman" w:hAnsi="Times New Roman" w:cs="Times New Roman"/>
          <w:color w:val="000000"/>
          <w:sz w:val="24"/>
          <w:szCs w:val="24"/>
          <w:lang w:val="en-US" w:eastAsia="en-CA"/>
        </w:rPr>
        <w:t xml:space="preserve"> submissions from Janssen, yet insisted that every communication from Sheller be filed on the public docket.  The effect of this process was to allow Janssen to provide select documents to the FDA, but to willfully ignore Sheller’s proffer of documents that were relevant and contradictory to Janssen’s statements about the safety of Risperdal.  That bias was compounded by the fact that Janssen’s response to the FDA’s information request failed to provide the FDA with all the required information that the FDA requested, as Janssen was obligated to do.  Janssen’s incomplete response to the FDA included inaccurate representations that Janssen had not identified any data that should have been but was not submitted to the agency and that its response was based on a review of all data in its possession</w:t>
      </w:r>
    </w:p>
    <w:p w:rsidR="00043F93" w:rsidRPr="00043F93" w:rsidRDefault="00043F93" w:rsidP="00043F93">
      <w:pPr>
        <w:numPr>
          <w:ilvl w:val="0"/>
          <w:numId w:val="3"/>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 xml:space="preserve">11/25/2014- Letter from Department of Health &amp; Human Services to Sheller PC, denying the primary relief sought in Sheller’s citizen petition. Though the FDA purportedly “granted” in part the Citizen Petition by requesting that Janssen provide additional information, Janssen failed to comply even with that ex </w:t>
      </w:r>
      <w:proofErr w:type="spellStart"/>
      <w:r w:rsidRPr="00043F93">
        <w:rPr>
          <w:rFonts w:ascii="Times New Roman" w:eastAsia="Times New Roman" w:hAnsi="Times New Roman" w:cs="Times New Roman"/>
          <w:color w:val="000000"/>
          <w:sz w:val="24"/>
          <w:szCs w:val="24"/>
          <w:lang w:val="en-US" w:eastAsia="en-CA"/>
        </w:rPr>
        <w:t>parte</w:t>
      </w:r>
      <w:proofErr w:type="spellEnd"/>
      <w:r w:rsidRPr="00043F93">
        <w:rPr>
          <w:rFonts w:ascii="Times New Roman" w:eastAsia="Times New Roman" w:hAnsi="Times New Roman" w:cs="Times New Roman"/>
          <w:color w:val="000000"/>
          <w:sz w:val="24"/>
          <w:szCs w:val="24"/>
          <w:lang w:val="en-US" w:eastAsia="en-CA"/>
        </w:rPr>
        <w:t xml:space="preserve"> request.</w:t>
      </w:r>
    </w:p>
    <w:p w:rsidR="00043F93" w:rsidRPr="00043F93" w:rsidRDefault="00043F93" w:rsidP="00043F93">
      <w:pPr>
        <w:numPr>
          <w:ilvl w:val="0"/>
          <w:numId w:val="3"/>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1/29/15- Sheller appealed the FDA’s denial of the Petition to District Court.  Defendants moved to dismiss for lack of jurisdiction under Rule 12(b)(1), arguing that Sheller lacked standing under Article III of the Constitution.</w:t>
      </w:r>
    </w:p>
    <w:p w:rsidR="00043F93" w:rsidRPr="00043F93" w:rsidRDefault="00043F93" w:rsidP="00043F93">
      <w:pPr>
        <w:numPr>
          <w:ilvl w:val="0"/>
          <w:numId w:val="3"/>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lastRenderedPageBreak/>
        <w:t>5/1/2015- First Amended Complaint filed</w:t>
      </w:r>
    </w:p>
    <w:p w:rsidR="00043F93" w:rsidRPr="00043F93" w:rsidRDefault="00043F93" w:rsidP="00043F93">
      <w:pPr>
        <w:numPr>
          <w:ilvl w:val="0"/>
          <w:numId w:val="3"/>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8/11/2015- United States District Court for the Eastern District of Pennsylvania granted Defendants’ Motion and dismissed Sheller’s Appeal, even though it concluded that Sheller suffered an injury sufficient to confer standing under Article III.</w:t>
      </w:r>
    </w:p>
    <w:p w:rsidR="00043F93" w:rsidRPr="00043F93" w:rsidRDefault="00043F93" w:rsidP="00043F93">
      <w:pPr>
        <w:numPr>
          <w:ilvl w:val="0"/>
          <w:numId w:val="3"/>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10/6/2016- United States Court of Appeals for the Third Circuit</w:t>
      </w:r>
    </w:p>
    <w:p w:rsidR="00043F93" w:rsidRPr="00043F93" w:rsidRDefault="00043F93" w:rsidP="00043F93">
      <w:pPr>
        <w:numPr>
          <w:ilvl w:val="0"/>
          <w:numId w:val="3"/>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12/8/2016- Denial of Rehearing of the United States Court of Appeals for the Third Circuit.</w:t>
      </w:r>
    </w:p>
    <w:p w:rsidR="00043F93" w:rsidRPr="00043F93" w:rsidRDefault="00043F93" w:rsidP="00043F93">
      <w:pPr>
        <w:numPr>
          <w:ilvl w:val="0"/>
          <w:numId w:val="3"/>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sz w:val="24"/>
          <w:szCs w:val="24"/>
          <w:lang w:val="en-US" w:eastAsia="en-CA"/>
        </w:rPr>
        <w:t>3/7/2017- Petition for Writ of Certiorari</w:t>
      </w:r>
    </w:p>
    <w:p w:rsidR="00043F93" w:rsidRPr="00043F93" w:rsidRDefault="00043F93" w:rsidP="00043F93">
      <w:pPr>
        <w:numPr>
          <w:ilvl w:val="0"/>
          <w:numId w:val="3"/>
        </w:numPr>
        <w:spacing w:after="0" w:line="240" w:lineRule="auto"/>
        <w:rPr>
          <w:rFonts w:ascii="Times New Roman" w:eastAsia="Times New Roman" w:hAnsi="Times New Roman" w:cs="Times New Roman"/>
          <w:sz w:val="24"/>
          <w:szCs w:val="24"/>
          <w:lang w:val="en-US" w:eastAsia="en-CA"/>
        </w:rPr>
      </w:pPr>
      <w:r w:rsidRPr="00043F93">
        <w:rPr>
          <w:rFonts w:ascii="Times New Roman" w:eastAsia="Times New Roman" w:hAnsi="Times New Roman" w:cs="Times New Roman"/>
          <w:color w:val="000000"/>
          <w:lang w:val="en-US" w:eastAsia="en-CA"/>
        </w:rPr>
        <w:t>5/15/2017 Petition for Writ of Certiorari Denied</w:t>
      </w:r>
    </w:p>
    <w:p w:rsidR="00F93D90" w:rsidRPr="00043F93" w:rsidRDefault="00F93D90">
      <w:pPr>
        <w:rPr>
          <w:lang w:val="en-US"/>
        </w:rPr>
      </w:pPr>
    </w:p>
    <w:sectPr w:rsidR="00F93D90" w:rsidRPr="00043F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3508B"/>
    <w:multiLevelType w:val="multilevel"/>
    <w:tmpl w:val="580A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7147D6"/>
    <w:multiLevelType w:val="multilevel"/>
    <w:tmpl w:val="56465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B039A0"/>
    <w:multiLevelType w:val="multilevel"/>
    <w:tmpl w:val="F762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F93"/>
    <w:rsid w:val="00043F93"/>
    <w:rsid w:val="00F93D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FB26D"/>
  <w15:chartTrackingRefBased/>
  <w15:docId w15:val="{5065735D-B2EE-4505-A2E1-4C58D22C6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189799">
      <w:bodyDiv w:val="1"/>
      <w:marLeft w:val="0"/>
      <w:marRight w:val="0"/>
      <w:marTop w:val="0"/>
      <w:marBottom w:val="0"/>
      <w:divBdr>
        <w:top w:val="none" w:sz="0" w:space="0" w:color="auto"/>
        <w:left w:val="none" w:sz="0" w:space="0" w:color="auto"/>
        <w:bottom w:val="none" w:sz="0" w:space="0" w:color="auto"/>
        <w:right w:val="none" w:sz="0" w:space="0" w:color="auto"/>
      </w:divBdr>
      <w:divsChild>
        <w:div w:id="268239135">
          <w:marLeft w:val="0"/>
          <w:marRight w:val="0"/>
          <w:marTop w:val="280"/>
          <w:marBottom w:val="280"/>
          <w:divBdr>
            <w:top w:val="none" w:sz="0" w:space="0" w:color="auto"/>
            <w:left w:val="none" w:sz="0" w:space="0" w:color="auto"/>
            <w:bottom w:val="none" w:sz="0" w:space="0" w:color="auto"/>
            <w:right w:val="none" w:sz="0" w:space="0" w:color="auto"/>
          </w:divBdr>
        </w:div>
        <w:div w:id="190849481">
          <w:marLeft w:val="720"/>
          <w:marRight w:val="0"/>
          <w:marTop w:val="280"/>
          <w:marBottom w:val="280"/>
          <w:divBdr>
            <w:top w:val="none" w:sz="0" w:space="0" w:color="auto"/>
            <w:left w:val="none" w:sz="0" w:space="0" w:color="auto"/>
            <w:bottom w:val="none" w:sz="0" w:space="0" w:color="auto"/>
            <w:right w:val="none" w:sz="0" w:space="0" w:color="auto"/>
          </w:divBdr>
        </w:div>
        <w:div w:id="505636754">
          <w:marLeft w:val="720"/>
          <w:marRight w:val="0"/>
          <w:marTop w:val="280"/>
          <w:marBottom w:val="280"/>
          <w:divBdr>
            <w:top w:val="none" w:sz="0" w:space="0" w:color="auto"/>
            <w:left w:val="none" w:sz="0" w:space="0" w:color="auto"/>
            <w:bottom w:val="none" w:sz="0" w:space="0" w:color="auto"/>
            <w:right w:val="none" w:sz="0" w:space="0" w:color="auto"/>
          </w:divBdr>
        </w:div>
        <w:div w:id="2075467213">
          <w:marLeft w:val="720"/>
          <w:marRight w:val="0"/>
          <w:marTop w:val="280"/>
          <w:marBottom w:val="280"/>
          <w:divBdr>
            <w:top w:val="none" w:sz="0" w:space="0" w:color="auto"/>
            <w:left w:val="none" w:sz="0" w:space="0" w:color="auto"/>
            <w:bottom w:val="none" w:sz="0" w:space="0" w:color="auto"/>
            <w:right w:val="none" w:sz="0" w:space="0" w:color="auto"/>
          </w:divBdr>
        </w:div>
        <w:div w:id="1171025795">
          <w:marLeft w:val="720"/>
          <w:marRight w:val="0"/>
          <w:marTop w:val="280"/>
          <w:marBottom w:val="280"/>
          <w:divBdr>
            <w:top w:val="none" w:sz="0" w:space="0" w:color="auto"/>
            <w:left w:val="none" w:sz="0" w:space="0" w:color="auto"/>
            <w:bottom w:val="none" w:sz="0" w:space="0" w:color="auto"/>
            <w:right w:val="none" w:sz="0" w:space="0" w:color="auto"/>
          </w:divBdr>
        </w:div>
        <w:div w:id="734208705">
          <w:marLeft w:val="720"/>
          <w:marRight w:val="0"/>
          <w:marTop w:val="280"/>
          <w:marBottom w:val="280"/>
          <w:divBdr>
            <w:top w:val="none" w:sz="0" w:space="0" w:color="auto"/>
            <w:left w:val="none" w:sz="0" w:space="0" w:color="auto"/>
            <w:bottom w:val="none" w:sz="0" w:space="0" w:color="auto"/>
            <w:right w:val="none" w:sz="0" w:space="0" w:color="auto"/>
          </w:divBdr>
        </w:div>
        <w:div w:id="1803498288">
          <w:marLeft w:val="720"/>
          <w:marRight w:val="0"/>
          <w:marTop w:val="280"/>
          <w:marBottom w:val="280"/>
          <w:divBdr>
            <w:top w:val="none" w:sz="0" w:space="0" w:color="auto"/>
            <w:left w:val="none" w:sz="0" w:space="0" w:color="auto"/>
            <w:bottom w:val="none" w:sz="0" w:space="0" w:color="auto"/>
            <w:right w:val="none" w:sz="0" w:space="0" w:color="auto"/>
          </w:divBdr>
        </w:div>
        <w:div w:id="1095441777">
          <w:marLeft w:val="720"/>
          <w:marRight w:val="0"/>
          <w:marTop w:val="280"/>
          <w:marBottom w:val="280"/>
          <w:divBdr>
            <w:top w:val="none" w:sz="0" w:space="0" w:color="auto"/>
            <w:left w:val="none" w:sz="0" w:space="0" w:color="auto"/>
            <w:bottom w:val="none" w:sz="0" w:space="0" w:color="auto"/>
            <w:right w:val="none" w:sz="0" w:space="0" w:color="auto"/>
          </w:divBdr>
        </w:div>
        <w:div w:id="2141603580">
          <w:marLeft w:val="720"/>
          <w:marRight w:val="0"/>
          <w:marTop w:val="280"/>
          <w:marBottom w:val="280"/>
          <w:divBdr>
            <w:top w:val="none" w:sz="0" w:space="0" w:color="auto"/>
            <w:left w:val="none" w:sz="0" w:space="0" w:color="auto"/>
            <w:bottom w:val="none" w:sz="0" w:space="0" w:color="auto"/>
            <w:right w:val="none" w:sz="0" w:space="0" w:color="auto"/>
          </w:divBdr>
        </w:div>
        <w:div w:id="1279678456">
          <w:marLeft w:val="720"/>
          <w:marRight w:val="0"/>
          <w:marTop w:val="280"/>
          <w:marBottom w:val="280"/>
          <w:divBdr>
            <w:top w:val="none" w:sz="0" w:space="0" w:color="auto"/>
            <w:left w:val="none" w:sz="0" w:space="0" w:color="auto"/>
            <w:bottom w:val="none" w:sz="0" w:space="0" w:color="auto"/>
            <w:right w:val="none" w:sz="0" w:space="0" w:color="auto"/>
          </w:divBdr>
        </w:div>
        <w:div w:id="1467433809">
          <w:marLeft w:val="720"/>
          <w:marRight w:val="0"/>
          <w:marTop w:val="280"/>
          <w:marBottom w:val="280"/>
          <w:divBdr>
            <w:top w:val="none" w:sz="0" w:space="0" w:color="auto"/>
            <w:left w:val="none" w:sz="0" w:space="0" w:color="auto"/>
            <w:bottom w:val="none" w:sz="0" w:space="0" w:color="auto"/>
            <w:right w:val="none" w:sz="0" w:space="0" w:color="auto"/>
          </w:divBdr>
        </w:div>
        <w:div w:id="684214879">
          <w:marLeft w:val="720"/>
          <w:marRight w:val="0"/>
          <w:marTop w:val="280"/>
          <w:marBottom w:val="280"/>
          <w:divBdr>
            <w:top w:val="none" w:sz="0" w:space="0" w:color="auto"/>
            <w:left w:val="none" w:sz="0" w:space="0" w:color="auto"/>
            <w:bottom w:val="none" w:sz="0" w:space="0" w:color="auto"/>
            <w:right w:val="none" w:sz="0" w:space="0" w:color="auto"/>
          </w:divBdr>
        </w:div>
        <w:div w:id="736979143">
          <w:marLeft w:val="720"/>
          <w:marRight w:val="0"/>
          <w:marTop w:val="0"/>
          <w:marBottom w:val="0"/>
          <w:divBdr>
            <w:top w:val="none" w:sz="0" w:space="0" w:color="auto"/>
            <w:left w:val="none" w:sz="0" w:space="0" w:color="auto"/>
            <w:bottom w:val="none" w:sz="0" w:space="0" w:color="auto"/>
            <w:right w:val="none" w:sz="0" w:space="0" w:color="auto"/>
          </w:divBdr>
        </w:div>
        <w:div w:id="827064502">
          <w:marLeft w:val="0"/>
          <w:marRight w:val="0"/>
          <w:marTop w:val="280"/>
          <w:marBottom w:val="280"/>
          <w:divBdr>
            <w:top w:val="none" w:sz="0" w:space="0" w:color="auto"/>
            <w:left w:val="none" w:sz="0" w:space="0" w:color="auto"/>
            <w:bottom w:val="none" w:sz="0" w:space="0" w:color="auto"/>
            <w:right w:val="none" w:sz="0" w:space="0" w:color="auto"/>
          </w:divBdr>
        </w:div>
        <w:div w:id="571741206">
          <w:marLeft w:val="0"/>
          <w:marRight w:val="0"/>
          <w:marTop w:val="280"/>
          <w:marBottom w:val="280"/>
          <w:divBdr>
            <w:top w:val="none" w:sz="0" w:space="0" w:color="auto"/>
            <w:left w:val="none" w:sz="0" w:space="0" w:color="auto"/>
            <w:bottom w:val="none" w:sz="0" w:space="0" w:color="auto"/>
            <w:right w:val="none" w:sz="0" w:space="0" w:color="auto"/>
          </w:divBdr>
        </w:div>
        <w:div w:id="673722093">
          <w:marLeft w:val="0"/>
          <w:marRight w:val="0"/>
          <w:marTop w:val="280"/>
          <w:marBottom w:val="280"/>
          <w:divBdr>
            <w:top w:val="none" w:sz="0" w:space="0" w:color="auto"/>
            <w:left w:val="none" w:sz="0" w:space="0" w:color="auto"/>
            <w:bottom w:val="none" w:sz="0" w:space="0" w:color="auto"/>
            <w:right w:val="none" w:sz="0" w:space="0" w:color="auto"/>
          </w:divBdr>
        </w:div>
        <w:div w:id="1927224303">
          <w:marLeft w:val="0"/>
          <w:marRight w:val="0"/>
          <w:marTop w:val="280"/>
          <w:marBottom w:val="280"/>
          <w:divBdr>
            <w:top w:val="none" w:sz="0" w:space="0" w:color="auto"/>
            <w:left w:val="none" w:sz="0" w:space="0" w:color="auto"/>
            <w:bottom w:val="none" w:sz="0" w:space="0" w:color="auto"/>
            <w:right w:val="none" w:sz="0" w:space="0" w:color="auto"/>
          </w:divBdr>
        </w:div>
        <w:div w:id="551238854">
          <w:marLeft w:val="0"/>
          <w:marRight w:val="0"/>
          <w:marTop w:val="280"/>
          <w:marBottom w:val="2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952</Words>
  <Characters>5429</Characters>
  <Application>Microsoft Office Word</Application>
  <DocSecurity>0</DocSecurity>
  <Lines>45</Lines>
  <Paragraphs>12</Paragraphs>
  <ScaleCrop>false</ScaleCrop>
  <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Steer</dc:creator>
  <cp:keywords/>
  <dc:description/>
  <cp:lastModifiedBy>Cassandra Steer</cp:lastModifiedBy>
  <cp:revision>1</cp:revision>
  <dcterms:created xsi:type="dcterms:W3CDTF">2018-03-16T15:39:00Z</dcterms:created>
  <dcterms:modified xsi:type="dcterms:W3CDTF">2018-03-16T15:43:00Z</dcterms:modified>
</cp:coreProperties>
</file>