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5A1C" w:rsidRDefault="00C95A1C" w:rsidP="00C95A1C">
      <w:pPr>
        <w:jc w:val="center"/>
      </w:pPr>
      <w:r w:rsidRPr="00C95A1C">
        <w:rPr>
          <w:b/>
          <w:sz w:val="28"/>
          <w:szCs w:val="28"/>
        </w:rPr>
        <w:t xml:space="preserve">Final Report of the President's Commission on Combatting Drug Addiction and the Opioid Crisis (2017)     </w:t>
      </w:r>
      <w:r w:rsidRPr="00C95A1C">
        <w:rPr>
          <w:b/>
          <w:sz w:val="28"/>
          <w:szCs w:val="28"/>
        </w:rPr>
        <w:br/>
      </w:r>
      <w:r>
        <w:t xml:space="preserve">    </w:t>
      </w:r>
      <w:r>
        <w:br/>
        <w:t>   R</w:t>
      </w:r>
      <w:r>
        <w:t>ecommendation 45:</w:t>
      </w:r>
      <w:r>
        <w:t xml:space="preserve"> Overdose to Treatment and Recovery</w:t>
      </w:r>
    </w:p>
    <w:p w:rsidR="00C95A1C" w:rsidRDefault="00C95A1C">
      <w:r>
        <w:t>pp. 79-80.</w:t>
      </w:r>
      <w:r>
        <w:br/>
        <w:t xml:space="preserve">    </w:t>
      </w:r>
      <w:r>
        <w:br/>
        <w:t>    Effectively linking individuals who have survived an opioid overdose and those at risk for overdose remains a challenge. However, several promising approaches are emerging. These include, but are not limited to:</w:t>
      </w:r>
      <w:bookmarkStart w:id="0" w:name="_GoBack"/>
      <w:bookmarkEnd w:id="0"/>
      <w:r>
        <w:br/>
        <w:t>    • Buprenorphine induction in the ED or other hospital departments followed by linkage with primary care and psychosocial services;</w:t>
      </w:r>
      <w:r>
        <w:br/>
        <w:t>    • Methadone induction for hospitalized patients followed by direct linkage to an opioid treatment program (OTP);</w:t>
      </w:r>
      <w:r>
        <w:br/>
        <w:t>    • An opioid urgent care unit adjacent to an ED that provides care coordination and linkage to office-based opioid treatment and psychosocial services;</w:t>
      </w:r>
      <w:r>
        <w:br/>
        <w:t>    • Overdose prevention training and naloxone distribution in the ED and other hospital settings;</w:t>
      </w:r>
      <w:r>
        <w:br/>
        <w:t>    • Post-overdose ED-based engagement, service linkage, and ongoing support and service coordination by recovery coaches and other peer workers who are on-call 24 hours per day, 365 days per year;</w:t>
      </w:r>
      <w:r>
        <w:br/>
        <w:t>    • Co-location of recovery coaches and other peer recovery support services workers at opioid treatment programs and primary care practices providing buprenorphine for the treatment of OUD;</w:t>
      </w:r>
      <w:r>
        <w:br/>
        <w:t>    • Community outreach and engagement of opioid users, their friends, and family by recovery coaches and other peer workers; and,</w:t>
      </w:r>
      <w:r>
        <w:br/>
        <w:t>    • Specialty bedside care for hospitalized patients from an inpatient addiction consult team.</w:t>
      </w:r>
      <w:r>
        <w:br/>
        <w:t>    In hospital settings, immediate engagement and initiation of treatment with an FDA-approved medication and/or recovery support services while the patient is still in the ED or is still in an inpatient hospital setting is critically important to increasing the number of Americans with opioid addiction who access treatment, decreasing overdose rates and related fatalities, and gradually lessening the burden the opioid crisis is creating for first responders, hospitals, and communities as a whole. To increase treatment participation, retention, and improve long-term recovery outcomes, a combination of clinical and recovery support services is necessary.</w:t>
      </w:r>
      <w:r>
        <w:br/>
        <w:t xml:space="preserve">    EMTALA requires EDs to stabilize and treat emergency medical conditions regardless of the patient’s ability to pay. Medical stabilization language exists in other regulations as well. The general stabilization requirement is to resolve acute symptoms to avoid serious jeopardy to patient health. In the case of an individual with an OUD who has been revived after an overdose, initiation of MAT is often required to stabilize the patient prior to discharge. In addition, appropriate “health extenders,” such as CHWs and recovery coaches, are also required to provide treatment engagement and follow-up services. Many emergency rooms and hospitals do not have sufficiently trained staff to diagnose an OUD or to provide the range of MAT and psychosocial services </w:t>
      </w:r>
      <w:proofErr w:type="gramStart"/>
      <w:r>
        <w:t>that  are</w:t>
      </w:r>
      <w:proofErr w:type="gramEnd"/>
      <w:r>
        <w:t xml:space="preserve"> needed to stabilize individuals. Thus, many overdose patients are being released without being appropriately stabilized and are at very high risk for subsequent overdose readmissions.</w:t>
      </w:r>
      <w:r>
        <w:br/>
        <w:t xml:space="preserve">    </w:t>
      </w:r>
      <w:r>
        <w:br/>
        <w:t xml:space="preserve">    45. The Commission recommends HHS develop new guidance for Emergency Medical Treatment and </w:t>
      </w:r>
      <w:r>
        <w:lastRenderedPageBreak/>
        <w:t xml:space="preserve">Labor Act (EMTALA) compliance </w:t>
      </w:r>
      <w:proofErr w:type="gramStart"/>
      <w:r>
        <w:t>with regard to</w:t>
      </w:r>
      <w:proofErr w:type="gramEnd"/>
      <w:r>
        <w:t xml:space="preserve"> treating and stabilizing SUD patients and provide resources to incentivize hospitals to hire appropriate staff for their emergency rooms.</w:t>
      </w:r>
    </w:p>
    <w:p w:rsidR="009201C1" w:rsidRDefault="009201C1" w:rsidP="00C95A1C">
      <w:pPr>
        <w:spacing w:after="0" w:line="240" w:lineRule="auto"/>
        <w:rPr>
          <w:rFonts w:ascii="Calibri" w:eastAsia="Times New Roman" w:hAnsi="Calibri" w:cs="Calibri"/>
          <w:lang w:val="en-US" w:eastAsia="en-CA"/>
        </w:rPr>
      </w:pPr>
    </w:p>
    <w:p w:rsidR="009201C1" w:rsidRDefault="009201C1" w:rsidP="00C95A1C">
      <w:pPr>
        <w:spacing w:after="0" w:line="240" w:lineRule="auto"/>
        <w:rPr>
          <w:rFonts w:ascii="Calibri" w:eastAsia="Times New Roman" w:hAnsi="Calibri" w:cs="Calibri"/>
          <w:lang w:val="en-US" w:eastAsia="en-CA"/>
        </w:rPr>
      </w:pPr>
    </w:p>
    <w:p w:rsidR="009201C1" w:rsidRDefault="009201C1" w:rsidP="00C95A1C">
      <w:pPr>
        <w:spacing w:after="0" w:line="240" w:lineRule="auto"/>
        <w:rPr>
          <w:rFonts w:ascii="Calibri" w:eastAsia="Times New Roman" w:hAnsi="Calibri" w:cs="Calibri"/>
          <w:lang w:val="en-US" w:eastAsia="en-CA"/>
        </w:rPr>
      </w:pPr>
    </w:p>
    <w:p w:rsidR="00C95A1C" w:rsidRDefault="00C95A1C" w:rsidP="00C95A1C">
      <w:pPr>
        <w:spacing w:after="0" w:line="240" w:lineRule="auto"/>
        <w:rPr>
          <w:rFonts w:ascii="Calibri" w:eastAsia="Times New Roman" w:hAnsi="Calibri" w:cs="Calibri"/>
          <w:lang w:val="en-US" w:eastAsia="en-CA"/>
        </w:rPr>
      </w:pPr>
      <w:r w:rsidRPr="00C95A1C">
        <w:rPr>
          <w:rFonts w:ascii="Calibri" w:eastAsia="Times New Roman" w:hAnsi="Calibri" w:cs="Calibri"/>
          <w:lang w:val="en-US" w:eastAsia="en-CA"/>
        </w:rPr>
        <w:t>(p. 122)</w:t>
      </w:r>
    </w:p>
    <w:p w:rsidR="00C95A1C" w:rsidRDefault="00C95A1C" w:rsidP="00C95A1C">
      <w:pPr>
        <w:spacing w:after="0" w:line="240" w:lineRule="auto"/>
        <w:rPr>
          <w:rFonts w:ascii="Calibri" w:eastAsia="Times New Roman" w:hAnsi="Calibri" w:cs="Calibri"/>
          <w:lang w:val="en-US" w:eastAsia="en-CA"/>
        </w:rPr>
      </w:pPr>
    </w:p>
    <w:p w:rsidR="00C95A1C" w:rsidRPr="00C95A1C" w:rsidRDefault="00C95A1C" w:rsidP="00C95A1C">
      <w:pPr>
        <w:spacing w:after="0" w:line="240" w:lineRule="auto"/>
        <w:rPr>
          <w:rFonts w:ascii="Times New Roman" w:eastAsia="Times New Roman" w:hAnsi="Times New Roman" w:cs="Times New Roman"/>
          <w:sz w:val="24"/>
          <w:szCs w:val="24"/>
          <w:lang w:val="en-US" w:eastAsia="en-CA"/>
        </w:rPr>
      </w:pPr>
      <w:r w:rsidRPr="00C95A1C">
        <w:rPr>
          <w:rFonts w:ascii="Calibri" w:eastAsia="Times New Roman" w:hAnsi="Calibri" w:cs="Calibri"/>
          <w:lang w:val="en-US" w:eastAsia="en-CA"/>
        </w:rPr>
        <w:t>• Better align, through regulation, patient privacy laws specific to addiction with the Health Insurance Portability and Accountability Act (HIPAA) to ensure that information about SUDs be made available to medical professionals treating and prescribing medication to a patient. This could be done through the bipartisan Overdose Prevention and Patient Safety Act/Jessie’s Law.</w:t>
      </w:r>
    </w:p>
    <w:p w:rsidR="00C95A1C" w:rsidRPr="00C95A1C" w:rsidRDefault="00C95A1C" w:rsidP="00C95A1C">
      <w:pPr>
        <w:spacing w:after="0" w:line="240" w:lineRule="auto"/>
        <w:rPr>
          <w:rFonts w:ascii="Times New Roman" w:eastAsia="Times New Roman" w:hAnsi="Times New Roman" w:cs="Times New Roman"/>
          <w:sz w:val="24"/>
          <w:szCs w:val="24"/>
          <w:lang w:val="en-US" w:eastAsia="en-CA"/>
        </w:rPr>
      </w:pPr>
      <w:r w:rsidRPr="00C95A1C">
        <w:rPr>
          <w:rFonts w:ascii="Calibri" w:eastAsia="Times New Roman" w:hAnsi="Calibri" w:cs="Calibri"/>
          <w:lang w:val="en-US" w:eastAsia="en-CA"/>
        </w:rPr>
        <w:t> </w:t>
      </w:r>
    </w:p>
    <w:p w:rsidR="00C95A1C" w:rsidRPr="00C95A1C" w:rsidRDefault="00C95A1C" w:rsidP="00C95A1C">
      <w:pPr>
        <w:spacing w:after="0" w:line="240" w:lineRule="auto"/>
        <w:rPr>
          <w:rFonts w:ascii="Times New Roman" w:eastAsia="Times New Roman" w:hAnsi="Times New Roman" w:cs="Times New Roman"/>
          <w:sz w:val="24"/>
          <w:szCs w:val="24"/>
          <w:lang w:val="en-US" w:eastAsia="en-CA"/>
        </w:rPr>
      </w:pPr>
      <w:r w:rsidRPr="00C95A1C">
        <w:rPr>
          <w:rFonts w:ascii="Calibri" w:eastAsia="Times New Roman" w:hAnsi="Calibri" w:cs="Calibri"/>
          <w:lang w:val="en-US" w:eastAsia="en-CA"/>
        </w:rPr>
        <w:t xml:space="preserve">Providers and other advocates have found that certain privacy regulations, while well-intentioned patient protections, act as a barrier to communication between providers, can make it difficult for family members to be involved in a loved one’s treatment, and limits the ability to use electronic health records to their full potential. 42 CFR Part 2, which requires addiction treatment professionals to acquire written patient consent before sharing any information with a patient’s other health care providers, including when the addiction treatment facility is part of a larger health care system, is a </w:t>
      </w:r>
      <w:proofErr w:type="gramStart"/>
      <w:r w:rsidRPr="00C95A1C">
        <w:rPr>
          <w:rFonts w:ascii="Calibri" w:eastAsia="Times New Roman" w:hAnsi="Calibri" w:cs="Calibri"/>
          <w:lang w:val="en-US" w:eastAsia="en-CA"/>
        </w:rPr>
        <w:t>particular hindrance</w:t>
      </w:r>
      <w:proofErr w:type="gramEnd"/>
      <w:r w:rsidRPr="00C95A1C">
        <w:rPr>
          <w:rFonts w:ascii="Calibri" w:eastAsia="Times New Roman" w:hAnsi="Calibri" w:cs="Calibri"/>
          <w:lang w:val="en-US" w:eastAsia="en-CA"/>
        </w:rPr>
        <w:t xml:space="preserve"> to comprehensive health care. Making it administratively difficult for providers to share information has ill-effects on patients in both physical and behavioral health settings, by restraining physicians’ ability to make informed healthcare decisions. We urge you to direct that regulation be changed to permit the sharing of this type of information among health care providers and the loved ones of those suffering from SUDs. Otherwise, drugs with high abuse liability may be prescribed to people with OUD. That will lead to even more unnecessary and preventable deaths. </w:t>
      </w:r>
    </w:p>
    <w:p w:rsidR="00F93D90" w:rsidRDefault="00C95A1C">
      <w:r>
        <w:br/>
        <w:t xml:space="preserve">    </w:t>
      </w:r>
      <w:r>
        <w:br/>
      </w:r>
    </w:p>
    <w:sectPr w:rsidR="00F93D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A1C"/>
    <w:rsid w:val="009201C1"/>
    <w:rsid w:val="00C95A1C"/>
    <w:rsid w:val="00F93D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4EC7A"/>
  <w15:chartTrackingRefBased/>
  <w15:docId w15:val="{4FA38E68-3372-48AD-9801-C96DBD5EE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3513863">
      <w:bodyDiv w:val="1"/>
      <w:marLeft w:val="0"/>
      <w:marRight w:val="0"/>
      <w:marTop w:val="0"/>
      <w:marBottom w:val="0"/>
      <w:divBdr>
        <w:top w:val="none" w:sz="0" w:space="0" w:color="auto"/>
        <w:left w:val="none" w:sz="0" w:space="0" w:color="auto"/>
        <w:bottom w:val="none" w:sz="0" w:space="0" w:color="auto"/>
        <w:right w:val="none" w:sz="0" w:space="0" w:color="auto"/>
      </w:divBdr>
      <w:divsChild>
        <w:div w:id="334187937">
          <w:marLeft w:val="0"/>
          <w:marRight w:val="0"/>
          <w:marTop w:val="0"/>
          <w:marBottom w:val="0"/>
          <w:divBdr>
            <w:top w:val="none" w:sz="0" w:space="0" w:color="auto"/>
            <w:left w:val="none" w:sz="0" w:space="0" w:color="auto"/>
            <w:bottom w:val="none" w:sz="0" w:space="0" w:color="auto"/>
            <w:right w:val="none" w:sz="0" w:space="0" w:color="auto"/>
          </w:divBdr>
        </w:div>
        <w:div w:id="1246303810">
          <w:marLeft w:val="0"/>
          <w:marRight w:val="0"/>
          <w:marTop w:val="0"/>
          <w:marBottom w:val="0"/>
          <w:divBdr>
            <w:top w:val="none" w:sz="0" w:space="0" w:color="auto"/>
            <w:left w:val="none" w:sz="0" w:space="0" w:color="auto"/>
            <w:bottom w:val="none" w:sz="0" w:space="0" w:color="auto"/>
            <w:right w:val="none" w:sz="0" w:space="0" w:color="auto"/>
          </w:divBdr>
        </w:div>
        <w:div w:id="1963269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751</Words>
  <Characters>4285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Steer</dc:creator>
  <cp:keywords/>
  <dc:description/>
  <cp:lastModifiedBy>Cassandra Steer</cp:lastModifiedBy>
  <cp:revision>1</cp:revision>
  <dcterms:created xsi:type="dcterms:W3CDTF">2018-03-16T15:23:00Z</dcterms:created>
  <dcterms:modified xsi:type="dcterms:W3CDTF">2018-03-16T15:44:00Z</dcterms:modified>
</cp:coreProperties>
</file>