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0412CB" w14:textId="77777777" w:rsidR="00DC4CB9" w:rsidRPr="006023BE" w:rsidRDefault="0066558C" w:rsidP="00830B57">
      <w:pPr>
        <w:spacing w:line="240" w:lineRule="auto"/>
        <w:ind w:left="1440"/>
        <w:jc w:val="center"/>
        <w:rPr>
          <w:rFonts w:ascii="Times New Roman" w:hAnsi="Times New Roman" w:cs="Times New Roman"/>
          <w:sz w:val="24"/>
          <w:szCs w:val="24"/>
        </w:rPr>
      </w:pPr>
      <w:r w:rsidRPr="006023BE">
        <w:rPr>
          <w:rFonts w:ascii="Times New Roman" w:hAnsi="Times New Roman" w:cs="Times New Roman"/>
          <w:sz w:val="24"/>
          <w:szCs w:val="24"/>
        </w:rPr>
        <w:t>DIVIDED LOYALTIES:  THE PROBLEM OF “DUAL SOVEREIGNTY” AND CONSTITUTIONAL FAITH</w:t>
      </w:r>
    </w:p>
    <w:p w14:paraId="15639C4E" w14:textId="06995063" w:rsidR="00DC4CB9" w:rsidRPr="006023BE" w:rsidRDefault="0066558C" w:rsidP="00830B57">
      <w:pPr>
        <w:spacing w:line="480" w:lineRule="auto"/>
        <w:ind w:left="1440"/>
        <w:jc w:val="center"/>
        <w:rPr>
          <w:rFonts w:ascii="Times New Roman" w:hAnsi="Times New Roman" w:cs="Times New Roman"/>
          <w:sz w:val="24"/>
          <w:szCs w:val="24"/>
        </w:rPr>
      </w:pPr>
      <w:r w:rsidRPr="006023BE">
        <w:rPr>
          <w:rFonts w:ascii="Times New Roman" w:hAnsi="Times New Roman" w:cs="Times New Roman"/>
          <w:sz w:val="24"/>
          <w:szCs w:val="24"/>
        </w:rPr>
        <w:t>SANFORD LEVINSON</w:t>
      </w:r>
    </w:p>
    <w:p w14:paraId="2970211F" w14:textId="77777777" w:rsidR="00A3076E" w:rsidRPr="006023BE" w:rsidRDefault="001560A3" w:rsidP="00DC4CB9">
      <w:pPr>
        <w:spacing w:line="480" w:lineRule="auto"/>
        <w:ind w:firstLine="720"/>
        <w:rPr>
          <w:rFonts w:ascii="Times New Roman" w:hAnsi="Times New Roman" w:cs="Times New Roman"/>
          <w:sz w:val="24"/>
          <w:szCs w:val="24"/>
        </w:rPr>
      </w:pPr>
      <w:r w:rsidRPr="006023BE">
        <w:rPr>
          <w:rFonts w:ascii="Times New Roman" w:hAnsi="Times New Roman" w:cs="Times New Roman"/>
          <w:sz w:val="24"/>
          <w:szCs w:val="24"/>
        </w:rPr>
        <w:t>It</w:t>
      </w:r>
      <w:r w:rsidR="00DE5167">
        <w:rPr>
          <w:rStyle w:val="FootnoteReference"/>
          <w:rFonts w:ascii="Times New Roman" w:hAnsi="Times New Roman" w:cs="Times New Roman"/>
          <w:sz w:val="24"/>
          <w:szCs w:val="24"/>
        </w:rPr>
        <w:footnoteReference w:id="1"/>
      </w:r>
      <w:r w:rsidRPr="006023BE">
        <w:rPr>
          <w:rFonts w:ascii="Times New Roman" w:hAnsi="Times New Roman" w:cs="Times New Roman"/>
          <w:sz w:val="24"/>
          <w:szCs w:val="24"/>
        </w:rPr>
        <w:t xml:space="preserve"> is a great honor—but also a daunting challenge—to have been asked to</w:t>
      </w:r>
      <w:r w:rsidR="0052419D" w:rsidRPr="006023BE">
        <w:rPr>
          <w:rFonts w:ascii="Times New Roman" w:hAnsi="Times New Roman" w:cs="Times New Roman"/>
          <w:sz w:val="24"/>
          <w:szCs w:val="24"/>
        </w:rPr>
        <w:t xml:space="preserve"> deliver the inaugural lecture of</w:t>
      </w:r>
      <w:r w:rsidR="00497E9B" w:rsidRPr="006023BE">
        <w:rPr>
          <w:rFonts w:ascii="Times New Roman" w:hAnsi="Times New Roman" w:cs="Times New Roman"/>
          <w:sz w:val="24"/>
          <w:szCs w:val="24"/>
        </w:rPr>
        <w:t xml:space="preserve"> </w:t>
      </w:r>
      <w:r w:rsidRPr="006023BE">
        <w:rPr>
          <w:rFonts w:ascii="Times New Roman" w:hAnsi="Times New Roman" w:cs="Times New Roman"/>
          <w:sz w:val="24"/>
          <w:szCs w:val="24"/>
        </w:rPr>
        <w:t xml:space="preserve">the new Jewish Law Institute at Touro Law School.   That it is a great honor is obvious; that it is also daunting comes from the fact that I </w:t>
      </w:r>
      <w:r w:rsidR="0052419D" w:rsidRPr="006023BE">
        <w:rPr>
          <w:rFonts w:ascii="Times New Roman" w:hAnsi="Times New Roman" w:cs="Times New Roman"/>
          <w:sz w:val="24"/>
          <w:szCs w:val="24"/>
        </w:rPr>
        <w:t xml:space="preserve">am </w:t>
      </w:r>
      <w:r w:rsidRPr="006023BE">
        <w:rPr>
          <w:rFonts w:ascii="Times New Roman" w:hAnsi="Times New Roman" w:cs="Times New Roman"/>
          <w:sz w:val="24"/>
          <w:szCs w:val="24"/>
        </w:rPr>
        <w:t xml:space="preserve">scarcely an expert in Jewish law.   Thanks largely to my contact over what is now a quarter-century with the Shalom Hartman Institute in Jerusalem, I have become decidedly interested in various aspects of Jewish law, including its methodology, and I am part of a weekly Talmud study group at the University of Texas Law School, but neither of these qualifies me </w:t>
      </w:r>
      <w:r w:rsidR="00271F41" w:rsidRPr="006023BE">
        <w:rPr>
          <w:rFonts w:ascii="Times New Roman" w:hAnsi="Times New Roman" w:cs="Times New Roman"/>
          <w:sz w:val="24"/>
          <w:szCs w:val="24"/>
        </w:rPr>
        <w:t xml:space="preserve">as an expert.  Indeed, my immense gratitude to David Hartman and his colleagues over the </w:t>
      </w:r>
      <w:r w:rsidR="000707A7" w:rsidRPr="006023BE">
        <w:rPr>
          <w:rFonts w:ascii="Times New Roman" w:hAnsi="Times New Roman" w:cs="Times New Roman"/>
          <w:sz w:val="24"/>
          <w:szCs w:val="24"/>
        </w:rPr>
        <w:t xml:space="preserve">years </w:t>
      </w:r>
      <w:r w:rsidR="00271F41" w:rsidRPr="006023BE">
        <w:rPr>
          <w:rFonts w:ascii="Times New Roman" w:hAnsi="Times New Roman" w:cs="Times New Roman"/>
          <w:sz w:val="24"/>
          <w:szCs w:val="24"/>
        </w:rPr>
        <w:t xml:space="preserve">is based on the fact that I have so much to learn and they have so much to teach me.  </w:t>
      </w:r>
    </w:p>
    <w:p w14:paraId="4DB3725C" w14:textId="77777777" w:rsidR="00241B15" w:rsidRPr="006023BE" w:rsidRDefault="00271F41" w:rsidP="00DC4CB9">
      <w:pPr>
        <w:spacing w:line="480" w:lineRule="auto"/>
        <w:ind w:firstLine="720"/>
        <w:rPr>
          <w:rFonts w:ascii="Times New Roman" w:hAnsi="Times New Roman" w:cs="Times New Roman"/>
          <w:sz w:val="24"/>
          <w:szCs w:val="24"/>
        </w:rPr>
      </w:pPr>
      <w:r w:rsidRPr="006023BE">
        <w:rPr>
          <w:rFonts w:ascii="Times New Roman" w:hAnsi="Times New Roman" w:cs="Times New Roman"/>
          <w:sz w:val="24"/>
          <w:szCs w:val="24"/>
        </w:rPr>
        <w:t xml:space="preserve">It would </w:t>
      </w:r>
      <w:r w:rsidR="0052419D" w:rsidRPr="006023BE">
        <w:rPr>
          <w:rFonts w:ascii="Times New Roman" w:hAnsi="Times New Roman" w:cs="Times New Roman"/>
          <w:sz w:val="24"/>
          <w:szCs w:val="24"/>
        </w:rPr>
        <w:t xml:space="preserve">therefore </w:t>
      </w:r>
      <w:r w:rsidRPr="006023BE">
        <w:rPr>
          <w:rFonts w:ascii="Times New Roman" w:hAnsi="Times New Roman" w:cs="Times New Roman"/>
          <w:sz w:val="24"/>
          <w:szCs w:val="24"/>
        </w:rPr>
        <w:t>be foolish in the extreme to attempt a talk delving into a particular issue of Jewish law.  What I shall do instead is to elaborate some of the ways that I find myself constantly thinking of what might be termed “meta-issues” that arise in my joint study</w:t>
      </w:r>
      <w:r w:rsidR="0052419D" w:rsidRPr="006023BE">
        <w:rPr>
          <w:rFonts w:ascii="Times New Roman" w:hAnsi="Times New Roman" w:cs="Times New Roman"/>
          <w:sz w:val="24"/>
          <w:szCs w:val="24"/>
        </w:rPr>
        <w:t xml:space="preserve"> of, and intellectual confrontation with, </w:t>
      </w:r>
      <w:r w:rsidRPr="006023BE">
        <w:rPr>
          <w:rFonts w:ascii="Times New Roman" w:hAnsi="Times New Roman" w:cs="Times New Roman"/>
          <w:sz w:val="24"/>
          <w:szCs w:val="24"/>
        </w:rPr>
        <w:t xml:space="preserve">Jewish law and American constitutional law.  </w:t>
      </w:r>
      <w:r w:rsidR="0052419D" w:rsidRPr="006023BE">
        <w:rPr>
          <w:rFonts w:ascii="Times New Roman" w:hAnsi="Times New Roman" w:cs="Times New Roman"/>
          <w:sz w:val="24"/>
          <w:szCs w:val="24"/>
        </w:rPr>
        <w:t xml:space="preserve">After all, I have been teaching about different aspects of American constitutional law for over thirty-five years and thinking intensely about it for even longer, given that I wrote my Ph.D. dissertation on Justices Holmes and Frankfurter.  When in law school, I had an epiphany about the role played by the </w:t>
      </w:r>
      <w:r w:rsidR="00C67143" w:rsidRPr="006023BE">
        <w:rPr>
          <w:rFonts w:ascii="Times New Roman" w:hAnsi="Times New Roman" w:cs="Times New Roman"/>
          <w:sz w:val="24"/>
          <w:szCs w:val="24"/>
        </w:rPr>
        <w:t xml:space="preserve">United States </w:t>
      </w:r>
      <w:r w:rsidR="0052419D" w:rsidRPr="006023BE">
        <w:rPr>
          <w:rFonts w:ascii="Times New Roman" w:hAnsi="Times New Roman" w:cs="Times New Roman"/>
          <w:sz w:val="24"/>
          <w:szCs w:val="24"/>
        </w:rPr>
        <w:t xml:space="preserve">Constitution within American civil religion and how there might be helpful </w:t>
      </w:r>
      <w:r w:rsidR="0052419D" w:rsidRPr="006023BE">
        <w:rPr>
          <w:rFonts w:ascii="Times New Roman" w:hAnsi="Times New Roman" w:cs="Times New Roman"/>
          <w:sz w:val="24"/>
          <w:szCs w:val="24"/>
        </w:rPr>
        <w:lastRenderedPageBreak/>
        <w:t xml:space="preserve">analogies to be drawn between </w:t>
      </w:r>
      <w:r w:rsidR="00C67143" w:rsidRPr="006023BE">
        <w:rPr>
          <w:rFonts w:ascii="Times New Roman" w:hAnsi="Times New Roman" w:cs="Times New Roman"/>
          <w:sz w:val="24"/>
          <w:szCs w:val="24"/>
        </w:rPr>
        <w:t xml:space="preserve">our approaches to that Constitution and those taken by more standard-form religions to </w:t>
      </w:r>
      <w:r w:rsidR="00C67143" w:rsidRPr="006023BE">
        <w:rPr>
          <w:rFonts w:ascii="Times New Roman" w:hAnsi="Times New Roman" w:cs="Times New Roman"/>
          <w:i/>
          <w:sz w:val="24"/>
          <w:szCs w:val="24"/>
        </w:rPr>
        <w:t xml:space="preserve">their </w:t>
      </w:r>
      <w:r w:rsidR="00C67143" w:rsidRPr="006023BE">
        <w:rPr>
          <w:rFonts w:ascii="Times New Roman" w:hAnsi="Times New Roman" w:cs="Times New Roman"/>
          <w:sz w:val="24"/>
          <w:szCs w:val="24"/>
        </w:rPr>
        <w:t xml:space="preserve">fundamental documents, whether the Torah, the Christian Scriptures, or the Koran.  </w:t>
      </w:r>
    </w:p>
    <w:p w14:paraId="783713ED" w14:textId="77777777" w:rsidR="006C2F2F" w:rsidRPr="006023BE" w:rsidRDefault="00C67143" w:rsidP="00DC4CB9">
      <w:pPr>
        <w:spacing w:line="480" w:lineRule="auto"/>
        <w:ind w:firstLine="720"/>
        <w:rPr>
          <w:rFonts w:ascii="Times New Roman" w:hAnsi="Times New Roman" w:cs="Times New Roman"/>
          <w:sz w:val="24"/>
          <w:szCs w:val="24"/>
        </w:rPr>
      </w:pPr>
      <w:r w:rsidRPr="006023BE">
        <w:rPr>
          <w:rFonts w:ascii="Times New Roman" w:hAnsi="Times New Roman" w:cs="Times New Roman"/>
          <w:sz w:val="24"/>
          <w:szCs w:val="24"/>
        </w:rPr>
        <w:t xml:space="preserve">I should note, incidentally, that more recently I have become extremely interested in American </w:t>
      </w:r>
      <w:r w:rsidRPr="006023BE">
        <w:rPr>
          <w:rFonts w:ascii="Times New Roman" w:hAnsi="Times New Roman" w:cs="Times New Roman"/>
          <w:i/>
          <w:sz w:val="24"/>
          <w:szCs w:val="24"/>
        </w:rPr>
        <w:t xml:space="preserve">state </w:t>
      </w:r>
      <w:r w:rsidRPr="006023BE">
        <w:rPr>
          <w:rFonts w:ascii="Times New Roman" w:hAnsi="Times New Roman" w:cs="Times New Roman"/>
          <w:sz w:val="24"/>
          <w:szCs w:val="24"/>
        </w:rPr>
        <w:t xml:space="preserve">constitutions and the implications of the fact that few, if any, Americans “venerate” those constitutions in the way they do the national constitution.  Although the intellectual issues of “interpretation” may be quite similar, there may be a fundamental difference regarding our willingness to engage in serious criticism of what might be termed the </w:t>
      </w:r>
      <w:r w:rsidRPr="006023BE">
        <w:rPr>
          <w:rFonts w:ascii="Times New Roman" w:hAnsi="Times New Roman" w:cs="Times New Roman"/>
          <w:i/>
          <w:sz w:val="24"/>
          <w:szCs w:val="24"/>
        </w:rPr>
        <w:t xml:space="preserve">givens </w:t>
      </w:r>
      <w:r w:rsidRPr="006023BE">
        <w:rPr>
          <w:rFonts w:ascii="Times New Roman" w:hAnsi="Times New Roman" w:cs="Times New Roman"/>
          <w:sz w:val="24"/>
          <w:szCs w:val="24"/>
        </w:rPr>
        <w:t>of a particular constitution—or aspects of a religious tradition—depending on the degree to which we venerate it.  My own view is that we ridiculously “over-venerate” the United States Constitution</w:t>
      </w:r>
      <w:r w:rsidR="006C2F2F" w:rsidRPr="006023BE">
        <w:rPr>
          <w:rFonts w:ascii="Times New Roman" w:hAnsi="Times New Roman" w:cs="Times New Roman"/>
          <w:sz w:val="24"/>
          <w:szCs w:val="24"/>
        </w:rPr>
        <w:t xml:space="preserve">, which I regard as seriously defective in a host of ways.  We would be better off if we had the same degree of emotional disengagement as I suspect most of us do to our respective state constitutions.  </w:t>
      </w:r>
    </w:p>
    <w:p w14:paraId="74046980" w14:textId="0592B9C2" w:rsidR="00241B15" w:rsidRPr="006023BE" w:rsidRDefault="00271F41" w:rsidP="00DC4CB9">
      <w:pPr>
        <w:spacing w:line="480" w:lineRule="auto"/>
        <w:ind w:firstLine="720"/>
        <w:rPr>
          <w:rFonts w:ascii="Times New Roman" w:hAnsi="Times New Roman" w:cs="Times New Roman"/>
          <w:sz w:val="24"/>
          <w:szCs w:val="24"/>
        </w:rPr>
      </w:pPr>
      <w:r w:rsidRPr="006023BE">
        <w:rPr>
          <w:rFonts w:ascii="Times New Roman" w:hAnsi="Times New Roman" w:cs="Times New Roman"/>
          <w:sz w:val="24"/>
          <w:szCs w:val="24"/>
        </w:rPr>
        <w:t>I elaborated some of the</w:t>
      </w:r>
      <w:r w:rsidR="006C2F2F" w:rsidRPr="006023BE">
        <w:rPr>
          <w:rFonts w:ascii="Times New Roman" w:hAnsi="Times New Roman" w:cs="Times New Roman"/>
          <w:sz w:val="24"/>
          <w:szCs w:val="24"/>
        </w:rPr>
        <w:t xml:space="preserve"> analogies between traditional religion and civil religion </w:t>
      </w:r>
      <w:r w:rsidRPr="006023BE">
        <w:rPr>
          <w:rFonts w:ascii="Times New Roman" w:hAnsi="Times New Roman" w:cs="Times New Roman"/>
          <w:sz w:val="24"/>
          <w:szCs w:val="24"/>
        </w:rPr>
        <w:t xml:space="preserve">in my book </w:t>
      </w:r>
      <w:r w:rsidRPr="006023BE">
        <w:rPr>
          <w:rFonts w:ascii="Times New Roman" w:hAnsi="Times New Roman" w:cs="Times New Roman"/>
          <w:i/>
          <w:sz w:val="24"/>
          <w:szCs w:val="24"/>
        </w:rPr>
        <w:t xml:space="preserve">Constitutional Faith, </w:t>
      </w:r>
      <w:r w:rsidRPr="006023BE">
        <w:rPr>
          <w:rFonts w:ascii="Times New Roman" w:hAnsi="Times New Roman" w:cs="Times New Roman"/>
          <w:sz w:val="24"/>
          <w:szCs w:val="24"/>
        </w:rPr>
        <w:t>originally written in 1986-87</w:t>
      </w:r>
      <w:r w:rsidR="00497E9B" w:rsidRPr="006023BE">
        <w:rPr>
          <w:rFonts w:ascii="Times New Roman" w:hAnsi="Times New Roman" w:cs="Times New Roman"/>
          <w:sz w:val="24"/>
          <w:szCs w:val="24"/>
        </w:rPr>
        <w:t>.</w:t>
      </w:r>
      <w:r w:rsidR="00DE5167">
        <w:rPr>
          <w:rStyle w:val="FootnoteReference"/>
          <w:rFonts w:ascii="Times New Roman" w:hAnsi="Times New Roman" w:cs="Times New Roman"/>
          <w:sz w:val="24"/>
          <w:szCs w:val="24"/>
        </w:rPr>
        <w:footnoteReference w:id="2"/>
      </w:r>
      <w:r w:rsidR="00497E9B" w:rsidRPr="006023BE">
        <w:rPr>
          <w:rFonts w:ascii="Times New Roman" w:hAnsi="Times New Roman" w:cs="Times New Roman"/>
          <w:sz w:val="24"/>
          <w:szCs w:val="24"/>
        </w:rPr>
        <w:t xml:space="preserve">  In that book I argued that one could discern analogues to the very different approaches taken by Protestantism and Catholicism toward, first, the source of what might be termed edification, and, secondly, the presence (or absence) of an institution authorized to give definitive interpretations and thus settle religious controversies.</w:t>
      </w:r>
      <w:r w:rsidR="00DE5167">
        <w:rPr>
          <w:rStyle w:val="FootnoteReference"/>
          <w:rFonts w:ascii="Times New Roman" w:hAnsi="Times New Roman" w:cs="Times New Roman"/>
          <w:sz w:val="24"/>
          <w:szCs w:val="24"/>
        </w:rPr>
        <w:footnoteReference w:id="3"/>
      </w:r>
      <w:r w:rsidR="00497E9B" w:rsidRPr="006023BE">
        <w:rPr>
          <w:rFonts w:ascii="Times New Roman" w:hAnsi="Times New Roman" w:cs="Times New Roman"/>
          <w:sz w:val="24"/>
          <w:szCs w:val="24"/>
        </w:rPr>
        <w:t xml:space="preserve">  Thus “protestant constitutionalism” was highly text centered and/or committed to the legitimacy of constitutional interpretation outside the Supreme Court, indeed, outside </w:t>
      </w:r>
      <w:r w:rsidR="00497E9B" w:rsidRPr="006023BE">
        <w:rPr>
          <w:rFonts w:ascii="Times New Roman" w:hAnsi="Times New Roman" w:cs="Times New Roman"/>
          <w:i/>
          <w:sz w:val="24"/>
          <w:szCs w:val="24"/>
        </w:rPr>
        <w:t xml:space="preserve">any </w:t>
      </w:r>
      <w:r w:rsidR="00497E9B" w:rsidRPr="006023BE">
        <w:rPr>
          <w:rFonts w:ascii="Times New Roman" w:hAnsi="Times New Roman" w:cs="Times New Roman"/>
          <w:sz w:val="24"/>
          <w:szCs w:val="24"/>
        </w:rPr>
        <w:t xml:space="preserve">court.  “Catholic constitutionalism,” on the other hand, paid far more attention to tradition and </w:t>
      </w:r>
      <w:r w:rsidR="00497E9B" w:rsidRPr="006023BE">
        <w:rPr>
          <w:rFonts w:ascii="Times New Roman" w:hAnsi="Times New Roman" w:cs="Times New Roman"/>
          <w:sz w:val="24"/>
          <w:szCs w:val="24"/>
        </w:rPr>
        <w:lastRenderedPageBreak/>
        <w:t>emphasized the presence of institutional settlement via the Supreme Court.  As I noted in the book, I could as easily used analogies within Judaism:  Rabbinic Judaism can certainly be viewed as analogous to Catholicism in the emphasis placed on tradition and relative de-emphasis placed on text alone.  Judaism, of course, had its Karoite “protestants,” but, for better or worse, they were successfully suppressed by the end of the first millennium.</w:t>
      </w:r>
      <w:r w:rsidR="00DE5167">
        <w:rPr>
          <w:rStyle w:val="FootnoteReference"/>
          <w:rFonts w:ascii="Times New Roman" w:hAnsi="Times New Roman" w:cs="Times New Roman"/>
          <w:sz w:val="24"/>
          <w:szCs w:val="24"/>
        </w:rPr>
        <w:footnoteReference w:id="4"/>
      </w:r>
      <w:r w:rsidR="00497E9B" w:rsidRPr="006023BE">
        <w:rPr>
          <w:rFonts w:ascii="Times New Roman" w:hAnsi="Times New Roman" w:cs="Times New Roman"/>
          <w:sz w:val="24"/>
          <w:szCs w:val="24"/>
        </w:rPr>
        <w:t xml:space="preserve">  And the Romans</w:t>
      </w:r>
      <w:r w:rsidR="00EE78DE">
        <w:rPr>
          <w:rFonts w:ascii="Times New Roman" w:hAnsi="Times New Roman" w:cs="Times New Roman"/>
          <w:sz w:val="24"/>
          <w:szCs w:val="24"/>
        </w:rPr>
        <w:t>, by destroying Jerusalem in 70 C.E.,</w:t>
      </w:r>
      <w:r w:rsidR="00497E9B" w:rsidRPr="006023BE">
        <w:rPr>
          <w:rFonts w:ascii="Times New Roman" w:hAnsi="Times New Roman" w:cs="Times New Roman"/>
          <w:sz w:val="24"/>
          <w:szCs w:val="24"/>
        </w:rPr>
        <w:t xml:space="preserve"> assured that there would be no institutional authority to compare with the Papacy.  Perhaps it should occasion no surprise that my own constitutional proclivities are “catholic” with regard to giving full weight to the development of our constitutional norms and “protestant” with regard to rejecting the supremacy of the Supreme Court.  But, as already suggested, that may simply to say that my overall stance to the Constitution reflects what Judaism implicitly taught me.  I discovered</w:t>
      </w:r>
      <w:r w:rsidR="00241B15" w:rsidRPr="006023BE">
        <w:rPr>
          <w:rFonts w:ascii="Times New Roman" w:hAnsi="Times New Roman" w:cs="Times New Roman"/>
          <w:sz w:val="24"/>
          <w:szCs w:val="24"/>
        </w:rPr>
        <w:t xml:space="preserve"> Baba Metzia 59b only as an adult, but its message that the Torah is not in heaven surely helps to explain my lack of sympathy for “originalist” arguments.</w:t>
      </w:r>
      <w:r w:rsidR="00DE5167">
        <w:rPr>
          <w:rStyle w:val="FootnoteReference"/>
          <w:rFonts w:ascii="Times New Roman" w:hAnsi="Times New Roman" w:cs="Times New Roman"/>
          <w:sz w:val="24"/>
          <w:szCs w:val="24"/>
        </w:rPr>
        <w:footnoteReference w:id="5"/>
      </w:r>
      <w:r w:rsidR="00241B15" w:rsidRPr="006023BE">
        <w:rPr>
          <w:rFonts w:ascii="Times New Roman" w:hAnsi="Times New Roman" w:cs="Times New Roman"/>
          <w:sz w:val="24"/>
          <w:szCs w:val="24"/>
        </w:rPr>
        <w:t xml:space="preserve">  If even God no longer controls the interpretations to be given Jewish materials, then why should we care what Madison or Hamilton might think if, miraculously, they could be revived today and asked what they really meant or intended by some phrase in the Constitution?  </w:t>
      </w:r>
    </w:p>
    <w:p w14:paraId="68503DD2" w14:textId="2BA42BC4" w:rsidR="00241B15" w:rsidRPr="006023BE" w:rsidRDefault="00241B15" w:rsidP="00DC4CB9">
      <w:pPr>
        <w:spacing w:line="480" w:lineRule="auto"/>
        <w:ind w:firstLine="720"/>
        <w:rPr>
          <w:rFonts w:ascii="Times New Roman" w:hAnsi="Times New Roman" w:cs="Times New Roman"/>
          <w:sz w:val="24"/>
          <w:szCs w:val="24"/>
        </w:rPr>
      </w:pPr>
      <w:r w:rsidRPr="006023BE">
        <w:rPr>
          <w:rFonts w:ascii="Times New Roman" w:hAnsi="Times New Roman" w:cs="Times New Roman"/>
          <w:i/>
          <w:sz w:val="24"/>
          <w:szCs w:val="24"/>
        </w:rPr>
        <w:t xml:space="preserve">Constitutional Faith </w:t>
      </w:r>
      <w:r w:rsidRPr="006023BE">
        <w:rPr>
          <w:rFonts w:ascii="Times New Roman" w:hAnsi="Times New Roman" w:cs="Times New Roman"/>
          <w:sz w:val="24"/>
          <w:szCs w:val="24"/>
        </w:rPr>
        <w:t xml:space="preserve">has just been republished </w:t>
      </w:r>
      <w:r w:rsidR="00271F41" w:rsidRPr="006023BE">
        <w:rPr>
          <w:rFonts w:ascii="Times New Roman" w:hAnsi="Times New Roman" w:cs="Times New Roman"/>
          <w:sz w:val="24"/>
          <w:szCs w:val="24"/>
        </w:rPr>
        <w:t xml:space="preserve">by the Princeton University Press.  </w:t>
      </w:r>
      <w:r w:rsidRPr="006023BE">
        <w:rPr>
          <w:rFonts w:ascii="Times New Roman" w:hAnsi="Times New Roman" w:cs="Times New Roman"/>
          <w:sz w:val="24"/>
          <w:szCs w:val="24"/>
        </w:rPr>
        <w:t xml:space="preserve">It contains a new afterword in which I </w:t>
      </w:r>
      <w:r w:rsidR="00271F41" w:rsidRPr="006023BE">
        <w:rPr>
          <w:rFonts w:ascii="Times New Roman" w:hAnsi="Times New Roman" w:cs="Times New Roman"/>
          <w:sz w:val="24"/>
          <w:szCs w:val="24"/>
        </w:rPr>
        <w:t>explain why I have substantially lost any faith I may have had in the United States Constitution</w:t>
      </w:r>
      <w:r w:rsidR="006C2F2F" w:rsidRPr="006023BE">
        <w:rPr>
          <w:rFonts w:ascii="Times New Roman" w:hAnsi="Times New Roman" w:cs="Times New Roman"/>
          <w:sz w:val="24"/>
          <w:szCs w:val="24"/>
        </w:rPr>
        <w:t>.</w:t>
      </w:r>
      <w:r w:rsidR="00DE5167">
        <w:rPr>
          <w:rFonts w:ascii="Times New Roman" w:hAnsi="Times New Roman" w:cs="Times New Roman"/>
          <w:sz w:val="24"/>
          <w:szCs w:val="24"/>
        </w:rPr>
        <w:t xml:space="preserve"> </w:t>
      </w:r>
      <w:r w:rsidR="00271F41" w:rsidRPr="006023BE">
        <w:rPr>
          <w:rFonts w:ascii="Times New Roman" w:hAnsi="Times New Roman" w:cs="Times New Roman"/>
          <w:sz w:val="24"/>
          <w:szCs w:val="24"/>
        </w:rPr>
        <w:t xml:space="preserve"> But that would be the subject for a quite different lecture.  </w:t>
      </w:r>
      <w:r w:rsidRPr="006023BE">
        <w:rPr>
          <w:rFonts w:ascii="Times New Roman" w:hAnsi="Times New Roman" w:cs="Times New Roman"/>
          <w:sz w:val="24"/>
          <w:szCs w:val="24"/>
        </w:rPr>
        <w:t xml:space="preserve">In this lecture, however, I want to engage in some further explorations of the tensions generated by the encounter of American constitutionalism and Judaism.  </w:t>
      </w:r>
    </w:p>
    <w:p w14:paraId="696097E6" w14:textId="77777777" w:rsidR="00351623" w:rsidRPr="006023BE" w:rsidRDefault="00A84B09" w:rsidP="00DC4CB9">
      <w:pPr>
        <w:spacing w:line="480" w:lineRule="auto"/>
        <w:ind w:firstLine="720"/>
        <w:rPr>
          <w:rFonts w:ascii="Times New Roman" w:hAnsi="Times New Roman" w:cs="Times New Roman"/>
          <w:sz w:val="24"/>
          <w:szCs w:val="24"/>
        </w:rPr>
      </w:pPr>
      <w:r w:rsidRPr="006023BE">
        <w:rPr>
          <w:rFonts w:ascii="Times New Roman" w:hAnsi="Times New Roman" w:cs="Times New Roman"/>
          <w:sz w:val="24"/>
          <w:szCs w:val="24"/>
        </w:rPr>
        <w:lastRenderedPageBreak/>
        <w:t xml:space="preserve">I </w:t>
      </w:r>
      <w:r w:rsidR="00241B15" w:rsidRPr="006023BE">
        <w:rPr>
          <w:rFonts w:ascii="Times New Roman" w:hAnsi="Times New Roman" w:cs="Times New Roman"/>
          <w:sz w:val="24"/>
          <w:szCs w:val="24"/>
        </w:rPr>
        <w:t xml:space="preserve">have written two essays, both </w:t>
      </w:r>
      <w:r w:rsidRPr="006023BE">
        <w:rPr>
          <w:rFonts w:ascii="Times New Roman" w:hAnsi="Times New Roman" w:cs="Times New Roman"/>
          <w:sz w:val="24"/>
          <w:szCs w:val="24"/>
        </w:rPr>
        <w:t xml:space="preserve">published in the </w:t>
      </w:r>
      <w:r w:rsidRPr="006023BE">
        <w:rPr>
          <w:rFonts w:ascii="Times New Roman" w:hAnsi="Times New Roman" w:cs="Times New Roman"/>
          <w:i/>
          <w:sz w:val="24"/>
          <w:szCs w:val="24"/>
        </w:rPr>
        <w:t xml:space="preserve">Cardozo Law Review, </w:t>
      </w:r>
      <w:r w:rsidRPr="006023BE">
        <w:rPr>
          <w:rFonts w:ascii="Times New Roman" w:hAnsi="Times New Roman" w:cs="Times New Roman"/>
          <w:sz w:val="24"/>
          <w:szCs w:val="24"/>
        </w:rPr>
        <w:t>on what it means to identify someone as a “Jewish lawyer”</w:t>
      </w:r>
      <w:r w:rsidR="008837A6" w:rsidRPr="006023BE">
        <w:rPr>
          <w:rStyle w:val="FootnoteReference"/>
          <w:rFonts w:ascii="Times New Roman" w:hAnsi="Times New Roman" w:cs="Times New Roman"/>
          <w:sz w:val="24"/>
          <w:szCs w:val="24"/>
        </w:rPr>
        <w:footnoteReference w:id="6"/>
      </w:r>
      <w:r w:rsidR="00241B15" w:rsidRPr="006023BE">
        <w:rPr>
          <w:rFonts w:ascii="Times New Roman" w:hAnsi="Times New Roman" w:cs="Times New Roman"/>
          <w:sz w:val="24"/>
          <w:szCs w:val="24"/>
        </w:rPr>
        <w:t xml:space="preserve"> or a “Jewish judge.”</w:t>
      </w:r>
      <w:r w:rsidR="008837A6" w:rsidRPr="006023BE">
        <w:rPr>
          <w:rStyle w:val="FootnoteReference"/>
          <w:rFonts w:ascii="Times New Roman" w:hAnsi="Times New Roman" w:cs="Times New Roman"/>
          <w:sz w:val="24"/>
          <w:szCs w:val="24"/>
        </w:rPr>
        <w:footnoteReference w:id="7"/>
      </w:r>
      <w:r w:rsidR="00241B15" w:rsidRPr="006023BE">
        <w:rPr>
          <w:rFonts w:ascii="Times New Roman" w:hAnsi="Times New Roman" w:cs="Times New Roman"/>
          <w:sz w:val="24"/>
          <w:szCs w:val="24"/>
        </w:rPr>
        <w:t xml:space="preserve">  </w:t>
      </w:r>
      <w:r w:rsidRPr="006023BE">
        <w:rPr>
          <w:rFonts w:ascii="Times New Roman" w:hAnsi="Times New Roman" w:cs="Times New Roman"/>
          <w:sz w:val="24"/>
          <w:szCs w:val="24"/>
        </w:rPr>
        <w:t xml:space="preserve">I call </w:t>
      </w:r>
      <w:r w:rsidR="00241B15" w:rsidRPr="006023BE">
        <w:rPr>
          <w:rFonts w:ascii="Times New Roman" w:hAnsi="Times New Roman" w:cs="Times New Roman"/>
          <w:sz w:val="24"/>
          <w:szCs w:val="24"/>
        </w:rPr>
        <w:t xml:space="preserve">the first of them </w:t>
      </w:r>
      <w:r w:rsidRPr="006023BE">
        <w:rPr>
          <w:rFonts w:ascii="Times New Roman" w:hAnsi="Times New Roman" w:cs="Times New Roman"/>
          <w:sz w:val="24"/>
          <w:szCs w:val="24"/>
        </w:rPr>
        <w:t xml:space="preserve">my “Sandy Koufax article” inasmuch as I built the essay around the question of what </w:t>
      </w:r>
      <w:r w:rsidR="000707A7" w:rsidRPr="006023BE">
        <w:rPr>
          <w:rFonts w:ascii="Times New Roman" w:hAnsi="Times New Roman" w:cs="Times New Roman"/>
          <w:sz w:val="24"/>
          <w:szCs w:val="24"/>
        </w:rPr>
        <w:t>exactly one means by identifying K</w:t>
      </w:r>
      <w:r w:rsidRPr="006023BE">
        <w:rPr>
          <w:rFonts w:ascii="Times New Roman" w:hAnsi="Times New Roman" w:cs="Times New Roman"/>
          <w:sz w:val="24"/>
          <w:szCs w:val="24"/>
        </w:rPr>
        <w:t>oufax as the pre-eminent “Jewish pitcher” in major league history (just as Hank Greenburg is the greatest “Jewish batter”).  One reason</w:t>
      </w:r>
      <w:r w:rsidR="00241B15" w:rsidRPr="006023BE">
        <w:rPr>
          <w:rFonts w:ascii="Times New Roman" w:hAnsi="Times New Roman" w:cs="Times New Roman"/>
          <w:sz w:val="24"/>
          <w:szCs w:val="24"/>
        </w:rPr>
        <w:t xml:space="preserve">, presumably, </w:t>
      </w:r>
      <w:r w:rsidRPr="006023BE">
        <w:rPr>
          <w:rFonts w:ascii="Times New Roman" w:hAnsi="Times New Roman" w:cs="Times New Roman"/>
          <w:sz w:val="24"/>
          <w:szCs w:val="24"/>
        </w:rPr>
        <w:t>is that Koufax notably observed Yom Kippur rather than pitch for the Dodgers in the first game of the World Series.</w:t>
      </w:r>
      <w:r w:rsidR="00DE5167">
        <w:rPr>
          <w:rStyle w:val="FootnoteReference"/>
          <w:rFonts w:ascii="Times New Roman" w:hAnsi="Times New Roman" w:cs="Times New Roman"/>
          <w:sz w:val="24"/>
          <w:szCs w:val="24"/>
        </w:rPr>
        <w:footnoteReference w:id="8"/>
      </w:r>
      <w:r w:rsidRPr="006023BE">
        <w:rPr>
          <w:rFonts w:ascii="Times New Roman" w:hAnsi="Times New Roman" w:cs="Times New Roman"/>
          <w:sz w:val="24"/>
          <w:szCs w:val="24"/>
        </w:rPr>
        <w:t xml:space="preserve">  </w:t>
      </w:r>
      <w:r w:rsidR="00241B15" w:rsidRPr="006023BE">
        <w:rPr>
          <w:rFonts w:ascii="Times New Roman" w:hAnsi="Times New Roman" w:cs="Times New Roman"/>
          <w:sz w:val="24"/>
          <w:szCs w:val="24"/>
        </w:rPr>
        <w:t xml:space="preserve">So a certain level of practice, whether or not accompanied by belief, is enough, particularly in the United States, to earn a particular adjective, in this case “Jewish.”  </w:t>
      </w:r>
      <w:r w:rsidR="00351623" w:rsidRPr="006023BE">
        <w:rPr>
          <w:rFonts w:ascii="Times New Roman" w:hAnsi="Times New Roman" w:cs="Times New Roman"/>
          <w:sz w:val="24"/>
          <w:szCs w:val="24"/>
        </w:rPr>
        <w:t xml:space="preserve">No one, however, is likely to suggest that Koufax “pitched like a Jew,” which means, among other things, that his Jewish identity was presumably irrelevant to his professional practices while engaged in pitching.  </w:t>
      </w:r>
    </w:p>
    <w:p w14:paraId="39B04100" w14:textId="77777777" w:rsidR="00241B15" w:rsidRPr="006023BE" w:rsidRDefault="008837A6" w:rsidP="00DC4CB9">
      <w:pPr>
        <w:spacing w:line="480" w:lineRule="auto"/>
        <w:ind w:firstLine="720"/>
        <w:rPr>
          <w:rFonts w:ascii="Times New Roman" w:hAnsi="Times New Roman" w:cs="Times New Roman"/>
          <w:sz w:val="24"/>
          <w:szCs w:val="24"/>
        </w:rPr>
      </w:pPr>
      <w:r w:rsidRPr="006023BE">
        <w:rPr>
          <w:rFonts w:ascii="Times New Roman" w:hAnsi="Times New Roman" w:cs="Times New Roman"/>
          <w:sz w:val="24"/>
          <w:szCs w:val="24"/>
        </w:rPr>
        <w:t>The second essay explored the extent to which it was helpful to identify Justices Brandeis, Cardozo, Frankfurter, Goldberg, or Fortas as “Jewish justices,” at least if the implication was that the adjective helped to explain their handiwork as judges.  Since then, of course, Justices Ginsburg, Breyer, and Kagan have joined the Court, but the question about “adjectival significance” remains.</w:t>
      </w:r>
      <w:r w:rsidR="00351623" w:rsidRPr="006023BE">
        <w:rPr>
          <w:rFonts w:ascii="Times New Roman" w:hAnsi="Times New Roman" w:cs="Times New Roman"/>
          <w:sz w:val="24"/>
          <w:szCs w:val="24"/>
        </w:rPr>
        <w:t xml:space="preserve">  Can one discern explicitly Jewish influences on their respective conceptions of judging and deciding cases, or, as with Koufax, is the importance of their religious identity limited to, say, their presumptive refusal to work on Yom Kippur?</w:t>
      </w:r>
    </w:p>
    <w:p w14:paraId="39BA6CCD" w14:textId="35570A1F" w:rsidR="00271F41" w:rsidRPr="006023BE" w:rsidRDefault="00241B15" w:rsidP="00DC4CB9">
      <w:pPr>
        <w:spacing w:line="480" w:lineRule="auto"/>
        <w:ind w:firstLine="720"/>
        <w:rPr>
          <w:rFonts w:ascii="Times New Roman" w:hAnsi="Times New Roman" w:cs="Times New Roman"/>
          <w:sz w:val="24"/>
          <w:szCs w:val="24"/>
        </w:rPr>
      </w:pPr>
      <w:r w:rsidRPr="006023BE">
        <w:rPr>
          <w:rFonts w:ascii="Times New Roman" w:hAnsi="Times New Roman" w:cs="Times New Roman"/>
          <w:sz w:val="24"/>
          <w:szCs w:val="24"/>
        </w:rPr>
        <w:lastRenderedPageBreak/>
        <w:t>So am I a “Jewish law professor</w:t>
      </w:r>
      <w:r w:rsidR="008837A6" w:rsidRPr="006023BE">
        <w:rPr>
          <w:rFonts w:ascii="Times New Roman" w:hAnsi="Times New Roman" w:cs="Times New Roman"/>
          <w:sz w:val="24"/>
          <w:szCs w:val="24"/>
        </w:rPr>
        <w:t>”?</w:t>
      </w:r>
      <w:r w:rsidRPr="006023BE">
        <w:rPr>
          <w:rFonts w:ascii="Times New Roman" w:hAnsi="Times New Roman" w:cs="Times New Roman"/>
          <w:sz w:val="24"/>
          <w:szCs w:val="24"/>
        </w:rPr>
        <w:t xml:space="preserve">  I presume so, even though I generally identify myself as a “secular Jew.”  Nevertheless, not only have </w:t>
      </w:r>
      <w:r w:rsidR="00A84B09" w:rsidRPr="006023BE">
        <w:rPr>
          <w:rFonts w:ascii="Times New Roman" w:hAnsi="Times New Roman" w:cs="Times New Roman"/>
          <w:sz w:val="24"/>
          <w:szCs w:val="24"/>
        </w:rPr>
        <w:t>I</w:t>
      </w:r>
      <w:r w:rsidRPr="006023BE">
        <w:rPr>
          <w:rFonts w:ascii="Times New Roman" w:hAnsi="Times New Roman" w:cs="Times New Roman"/>
          <w:sz w:val="24"/>
          <w:szCs w:val="24"/>
        </w:rPr>
        <w:t xml:space="preserve"> </w:t>
      </w:r>
      <w:r w:rsidR="00A84B09" w:rsidRPr="006023BE">
        <w:rPr>
          <w:rFonts w:ascii="Times New Roman" w:hAnsi="Times New Roman" w:cs="Times New Roman"/>
          <w:sz w:val="24"/>
          <w:szCs w:val="24"/>
        </w:rPr>
        <w:t>just observed, like almost all of you, the High Holidays, whether or not I “believe in” what the liturgy pronounces</w:t>
      </w:r>
      <w:r w:rsidRPr="006023BE">
        <w:rPr>
          <w:rFonts w:ascii="Times New Roman" w:hAnsi="Times New Roman" w:cs="Times New Roman"/>
          <w:sz w:val="24"/>
          <w:szCs w:val="24"/>
        </w:rPr>
        <w:t xml:space="preserve">, but I also cancelled my class at the Yale Law School that would have taken place on the first day of Rosh Hashanah (and was thanked by </w:t>
      </w:r>
      <w:r w:rsidR="00DE5167">
        <w:rPr>
          <w:rFonts w:ascii="Times New Roman" w:hAnsi="Times New Roman" w:cs="Times New Roman"/>
          <w:sz w:val="24"/>
          <w:szCs w:val="24"/>
        </w:rPr>
        <w:t xml:space="preserve">a student for having done so).  </w:t>
      </w:r>
      <w:r w:rsidR="00A84B09" w:rsidRPr="006023BE">
        <w:rPr>
          <w:rFonts w:ascii="Times New Roman" w:hAnsi="Times New Roman" w:cs="Times New Roman"/>
          <w:sz w:val="24"/>
          <w:szCs w:val="24"/>
        </w:rPr>
        <w:t xml:space="preserve">But I know </w:t>
      </w:r>
      <w:r w:rsidR="00E269CF" w:rsidRPr="006023BE">
        <w:rPr>
          <w:rFonts w:ascii="Times New Roman" w:hAnsi="Times New Roman" w:cs="Times New Roman"/>
          <w:sz w:val="24"/>
          <w:szCs w:val="24"/>
        </w:rPr>
        <w:t xml:space="preserve">as well </w:t>
      </w:r>
      <w:r w:rsidR="000B583F" w:rsidRPr="006023BE">
        <w:rPr>
          <w:rFonts w:ascii="Times New Roman" w:hAnsi="Times New Roman" w:cs="Times New Roman"/>
          <w:sz w:val="24"/>
          <w:szCs w:val="24"/>
        </w:rPr>
        <w:t xml:space="preserve">that the liturgy has formed me in deep ways, even if it is principally by providing a set of questions with which I constantly contend and feel disturbed by.  Whether paradoxically or not, I get a certain sustenance from renewed confrontation </w:t>
      </w:r>
      <w:r w:rsidR="00E269CF" w:rsidRPr="006023BE">
        <w:rPr>
          <w:rFonts w:ascii="Times New Roman" w:hAnsi="Times New Roman" w:cs="Times New Roman"/>
          <w:sz w:val="24"/>
          <w:szCs w:val="24"/>
        </w:rPr>
        <w:t xml:space="preserve">that is absent in a </w:t>
      </w:r>
      <w:r w:rsidR="000B583F" w:rsidRPr="006023BE">
        <w:rPr>
          <w:rFonts w:ascii="Times New Roman" w:hAnsi="Times New Roman" w:cs="Times New Roman"/>
          <w:sz w:val="24"/>
          <w:szCs w:val="24"/>
        </w:rPr>
        <w:t xml:space="preserve">liturgy that attempts to smooth over the </w:t>
      </w:r>
      <w:r w:rsidR="00E269CF" w:rsidRPr="006023BE">
        <w:rPr>
          <w:rFonts w:ascii="Times New Roman" w:hAnsi="Times New Roman" w:cs="Times New Roman"/>
          <w:sz w:val="24"/>
          <w:szCs w:val="24"/>
        </w:rPr>
        <w:t xml:space="preserve">some of the </w:t>
      </w:r>
      <w:r w:rsidR="000B583F" w:rsidRPr="006023BE">
        <w:rPr>
          <w:rFonts w:ascii="Times New Roman" w:hAnsi="Times New Roman" w:cs="Times New Roman"/>
          <w:sz w:val="24"/>
          <w:szCs w:val="24"/>
        </w:rPr>
        <w:t xml:space="preserve">difficulties presented by Judaism.  </w:t>
      </w:r>
      <w:r w:rsidR="00B2797B" w:rsidRPr="006023BE">
        <w:rPr>
          <w:rFonts w:ascii="Times New Roman" w:hAnsi="Times New Roman" w:cs="Times New Roman"/>
          <w:sz w:val="24"/>
          <w:szCs w:val="24"/>
        </w:rPr>
        <w:t xml:space="preserve">I learned once more, while attending </w:t>
      </w:r>
      <w:r w:rsidR="000B583F" w:rsidRPr="006023BE">
        <w:rPr>
          <w:rFonts w:ascii="Times New Roman" w:hAnsi="Times New Roman" w:cs="Times New Roman"/>
          <w:sz w:val="24"/>
          <w:szCs w:val="24"/>
        </w:rPr>
        <w:t xml:space="preserve">with my son-in-law’s family </w:t>
      </w:r>
      <w:r w:rsidR="00E269CF" w:rsidRPr="006023BE">
        <w:rPr>
          <w:rFonts w:ascii="Times New Roman" w:hAnsi="Times New Roman" w:cs="Times New Roman"/>
          <w:sz w:val="24"/>
          <w:szCs w:val="24"/>
        </w:rPr>
        <w:t xml:space="preserve">what were </w:t>
      </w:r>
      <w:r w:rsidR="00B2797B" w:rsidRPr="006023BE">
        <w:rPr>
          <w:rFonts w:ascii="Times New Roman" w:hAnsi="Times New Roman" w:cs="Times New Roman"/>
          <w:sz w:val="24"/>
          <w:szCs w:val="24"/>
        </w:rPr>
        <w:t xml:space="preserve">otherwise lovely Rosh Hashanah services at a Reform temple in Connecticut, that I </w:t>
      </w:r>
      <w:r w:rsidR="00B2797B" w:rsidRPr="006023BE">
        <w:rPr>
          <w:rFonts w:ascii="Times New Roman" w:hAnsi="Times New Roman" w:cs="Times New Roman"/>
          <w:i/>
          <w:sz w:val="24"/>
          <w:szCs w:val="24"/>
        </w:rPr>
        <w:t xml:space="preserve">want </w:t>
      </w:r>
      <w:r w:rsidR="00B2797B" w:rsidRPr="006023BE">
        <w:rPr>
          <w:rFonts w:ascii="Times New Roman" w:hAnsi="Times New Roman" w:cs="Times New Roman"/>
          <w:sz w:val="24"/>
          <w:szCs w:val="24"/>
        </w:rPr>
        <w:t>to be reminded, every year, of Abraham’s expulsion of Hagar and then his acquiescence to the command that he slay Isaac</w:t>
      </w:r>
      <w:r w:rsidR="00E269CF" w:rsidRPr="006023BE">
        <w:rPr>
          <w:rFonts w:ascii="Times New Roman" w:hAnsi="Times New Roman" w:cs="Times New Roman"/>
          <w:sz w:val="24"/>
          <w:szCs w:val="24"/>
        </w:rPr>
        <w:t>.  I was decidedly uncomfortable reading instead an an</w:t>
      </w:r>
      <w:r w:rsidR="00B2797B" w:rsidRPr="006023BE">
        <w:rPr>
          <w:rFonts w:ascii="Times New Roman" w:hAnsi="Times New Roman" w:cs="Times New Roman"/>
          <w:sz w:val="24"/>
          <w:szCs w:val="24"/>
        </w:rPr>
        <w:t>odyne substitute from the beginning of B</w:t>
      </w:r>
      <w:r w:rsidR="00E269CF" w:rsidRPr="006023BE">
        <w:rPr>
          <w:rFonts w:ascii="Times New Roman" w:hAnsi="Times New Roman" w:cs="Times New Roman"/>
          <w:sz w:val="24"/>
          <w:szCs w:val="24"/>
        </w:rPr>
        <w:t>’</w:t>
      </w:r>
      <w:r w:rsidR="00B2797B" w:rsidRPr="006023BE">
        <w:rPr>
          <w:rFonts w:ascii="Times New Roman" w:hAnsi="Times New Roman" w:cs="Times New Roman"/>
          <w:sz w:val="24"/>
          <w:szCs w:val="24"/>
        </w:rPr>
        <w:t>reshet praising God the Creator</w:t>
      </w:r>
      <w:r w:rsidR="00E269CF" w:rsidRPr="006023BE">
        <w:rPr>
          <w:rFonts w:ascii="Times New Roman" w:hAnsi="Times New Roman" w:cs="Times New Roman"/>
          <w:sz w:val="24"/>
          <w:szCs w:val="24"/>
        </w:rPr>
        <w:t xml:space="preserve">, chosen, I was told, because children attending the services find it too disturbing to read </w:t>
      </w:r>
      <w:r w:rsidR="00351623" w:rsidRPr="006023BE">
        <w:rPr>
          <w:rFonts w:ascii="Times New Roman" w:hAnsi="Times New Roman" w:cs="Times New Roman"/>
          <w:sz w:val="24"/>
          <w:szCs w:val="24"/>
        </w:rPr>
        <w:t xml:space="preserve">about </w:t>
      </w:r>
      <w:r w:rsidR="00E269CF" w:rsidRPr="006023BE">
        <w:rPr>
          <w:rFonts w:ascii="Times New Roman" w:hAnsi="Times New Roman" w:cs="Times New Roman"/>
          <w:sz w:val="24"/>
          <w:szCs w:val="24"/>
        </w:rPr>
        <w:t xml:space="preserve">the </w:t>
      </w:r>
      <w:r w:rsidR="00351623" w:rsidRPr="006023BE">
        <w:rPr>
          <w:rFonts w:ascii="Times New Roman" w:hAnsi="Times New Roman" w:cs="Times New Roman"/>
          <w:i/>
          <w:sz w:val="24"/>
          <w:szCs w:val="24"/>
        </w:rPr>
        <w:t>A</w:t>
      </w:r>
      <w:r w:rsidR="00E269CF" w:rsidRPr="006023BE">
        <w:rPr>
          <w:rFonts w:ascii="Times New Roman" w:hAnsi="Times New Roman" w:cs="Times New Roman"/>
          <w:i/>
          <w:sz w:val="24"/>
          <w:szCs w:val="24"/>
        </w:rPr>
        <w:t>keda</w:t>
      </w:r>
      <w:r w:rsidR="005D2BF0">
        <w:rPr>
          <w:rFonts w:ascii="Times New Roman" w:hAnsi="Times New Roman" w:cs="Times New Roman"/>
          <w:i/>
          <w:sz w:val="24"/>
          <w:szCs w:val="24"/>
        </w:rPr>
        <w:t>h,</w:t>
      </w:r>
      <w:r w:rsidR="00E269CF" w:rsidRPr="006023BE">
        <w:rPr>
          <w:rFonts w:ascii="Times New Roman" w:hAnsi="Times New Roman" w:cs="Times New Roman"/>
          <w:i/>
          <w:sz w:val="24"/>
          <w:szCs w:val="24"/>
        </w:rPr>
        <w:t xml:space="preserve">  </w:t>
      </w:r>
      <w:r w:rsidR="00B2797B" w:rsidRPr="006023BE">
        <w:rPr>
          <w:rFonts w:ascii="Times New Roman" w:hAnsi="Times New Roman" w:cs="Times New Roman"/>
          <w:sz w:val="24"/>
          <w:szCs w:val="24"/>
        </w:rPr>
        <w:t xml:space="preserve">  </w:t>
      </w:r>
    </w:p>
    <w:p w14:paraId="3FECB91B" w14:textId="77777777" w:rsidR="00E269CF" w:rsidRPr="006023BE" w:rsidRDefault="00B2797B" w:rsidP="00DC4CB9">
      <w:pPr>
        <w:spacing w:line="480" w:lineRule="auto"/>
        <w:ind w:firstLine="720"/>
        <w:rPr>
          <w:rFonts w:ascii="Times New Roman" w:hAnsi="Times New Roman" w:cs="Times New Roman"/>
          <w:sz w:val="24"/>
          <w:szCs w:val="24"/>
        </w:rPr>
      </w:pPr>
      <w:r w:rsidRPr="006023BE">
        <w:rPr>
          <w:rFonts w:ascii="Times New Roman" w:hAnsi="Times New Roman" w:cs="Times New Roman"/>
          <w:sz w:val="24"/>
          <w:szCs w:val="24"/>
        </w:rPr>
        <w:t xml:space="preserve">Why are the traditional readings so powerful?  </w:t>
      </w:r>
      <w:r w:rsidR="000707A7" w:rsidRPr="006023BE">
        <w:rPr>
          <w:rFonts w:ascii="Times New Roman" w:hAnsi="Times New Roman" w:cs="Times New Roman"/>
          <w:sz w:val="24"/>
          <w:szCs w:val="24"/>
        </w:rPr>
        <w:t>The answer is that b</w:t>
      </w:r>
      <w:r w:rsidRPr="006023BE">
        <w:rPr>
          <w:rFonts w:ascii="Times New Roman" w:hAnsi="Times New Roman" w:cs="Times New Roman"/>
          <w:sz w:val="24"/>
          <w:szCs w:val="24"/>
        </w:rPr>
        <w:t>oth raise, clearly and tersely, the problem that should obsess any lawyer</w:t>
      </w:r>
      <w:r w:rsidR="000B583F" w:rsidRPr="006023BE">
        <w:rPr>
          <w:rFonts w:ascii="Times New Roman" w:hAnsi="Times New Roman" w:cs="Times New Roman"/>
          <w:sz w:val="24"/>
          <w:szCs w:val="24"/>
        </w:rPr>
        <w:t xml:space="preserve"> or moral philosopher</w:t>
      </w:r>
      <w:r w:rsidRPr="006023BE">
        <w:rPr>
          <w:rFonts w:ascii="Times New Roman" w:hAnsi="Times New Roman" w:cs="Times New Roman"/>
          <w:sz w:val="24"/>
          <w:szCs w:val="24"/>
        </w:rPr>
        <w:t>, secular or religious.  What is the meaning of “sovereignty,” and what is the relationship between “sovereign authority” and an individual presumably subject to such authority who nevertheless legitimately believes that the sovereign is commanding what can only be described as perhaps grotesque injustice</w:t>
      </w:r>
      <w:r w:rsidR="00E269CF" w:rsidRPr="006023BE">
        <w:rPr>
          <w:rFonts w:ascii="Times New Roman" w:hAnsi="Times New Roman" w:cs="Times New Roman"/>
          <w:sz w:val="24"/>
          <w:szCs w:val="24"/>
        </w:rPr>
        <w:t>, as was the case with Hagar</w:t>
      </w:r>
      <w:r w:rsidRPr="006023BE">
        <w:rPr>
          <w:rFonts w:ascii="Times New Roman" w:hAnsi="Times New Roman" w:cs="Times New Roman"/>
          <w:sz w:val="24"/>
          <w:szCs w:val="24"/>
        </w:rPr>
        <w:t xml:space="preserve">?  </w:t>
      </w:r>
      <w:r w:rsidR="00E269CF" w:rsidRPr="006023BE">
        <w:rPr>
          <w:rFonts w:ascii="Times New Roman" w:hAnsi="Times New Roman" w:cs="Times New Roman"/>
          <w:sz w:val="24"/>
          <w:szCs w:val="24"/>
        </w:rPr>
        <w:t xml:space="preserve">The </w:t>
      </w:r>
      <w:r w:rsidR="001D49B1" w:rsidRPr="006023BE">
        <w:rPr>
          <w:rFonts w:ascii="Times New Roman" w:hAnsi="Times New Roman" w:cs="Times New Roman"/>
          <w:i/>
          <w:sz w:val="24"/>
          <w:szCs w:val="24"/>
        </w:rPr>
        <w:t>Akedah</w:t>
      </w:r>
      <w:r w:rsidR="00E269CF" w:rsidRPr="006023BE">
        <w:rPr>
          <w:rFonts w:ascii="Times New Roman" w:hAnsi="Times New Roman" w:cs="Times New Roman"/>
          <w:i/>
          <w:sz w:val="24"/>
          <w:szCs w:val="24"/>
        </w:rPr>
        <w:t xml:space="preserve"> </w:t>
      </w:r>
      <w:r w:rsidR="00E269CF" w:rsidRPr="006023BE">
        <w:rPr>
          <w:rFonts w:ascii="Times New Roman" w:hAnsi="Times New Roman" w:cs="Times New Roman"/>
          <w:sz w:val="24"/>
          <w:szCs w:val="24"/>
        </w:rPr>
        <w:t xml:space="preserve">goes well beyond a judgment of injustice, for, unlike Hagar’s expulsion, there is no explanation—Sarah’s jealousy—or promise that she and her son Ishmael will in fact be taken care of and even eventually prosper.  The </w:t>
      </w:r>
      <w:r w:rsidR="001D49B1" w:rsidRPr="006023BE">
        <w:rPr>
          <w:rFonts w:ascii="Times New Roman" w:hAnsi="Times New Roman" w:cs="Times New Roman"/>
          <w:i/>
          <w:sz w:val="24"/>
          <w:szCs w:val="24"/>
        </w:rPr>
        <w:t>Akedah</w:t>
      </w:r>
      <w:r w:rsidR="00E269CF" w:rsidRPr="006023BE">
        <w:rPr>
          <w:rFonts w:ascii="Times New Roman" w:hAnsi="Times New Roman" w:cs="Times New Roman"/>
          <w:i/>
          <w:sz w:val="24"/>
          <w:szCs w:val="24"/>
        </w:rPr>
        <w:t xml:space="preserve"> </w:t>
      </w:r>
      <w:r w:rsidR="00E269CF" w:rsidRPr="006023BE">
        <w:rPr>
          <w:rFonts w:ascii="Times New Roman" w:hAnsi="Times New Roman" w:cs="Times New Roman"/>
          <w:sz w:val="24"/>
          <w:szCs w:val="24"/>
        </w:rPr>
        <w:t xml:space="preserve">is simply a demand for submission, with no explanation demanded or given.  </w:t>
      </w:r>
    </w:p>
    <w:p w14:paraId="77862955" w14:textId="77777777" w:rsidR="00E269CF" w:rsidRPr="006023BE" w:rsidRDefault="00E269CF" w:rsidP="00DC4CB9">
      <w:pPr>
        <w:spacing w:line="480" w:lineRule="auto"/>
        <w:ind w:firstLine="720"/>
        <w:rPr>
          <w:rFonts w:ascii="Times New Roman" w:hAnsi="Times New Roman" w:cs="Times New Roman"/>
          <w:sz w:val="24"/>
          <w:szCs w:val="24"/>
        </w:rPr>
      </w:pPr>
      <w:r w:rsidRPr="006023BE">
        <w:rPr>
          <w:rFonts w:ascii="Times New Roman" w:hAnsi="Times New Roman" w:cs="Times New Roman"/>
          <w:sz w:val="24"/>
          <w:szCs w:val="24"/>
        </w:rPr>
        <w:lastRenderedPageBreak/>
        <w:t>W</w:t>
      </w:r>
      <w:r w:rsidR="00B2797B" w:rsidRPr="006023BE">
        <w:rPr>
          <w:rFonts w:ascii="Times New Roman" w:hAnsi="Times New Roman" w:cs="Times New Roman"/>
          <w:sz w:val="24"/>
          <w:szCs w:val="24"/>
        </w:rPr>
        <w:t>hat is the meaning of “faith,” whether religious o</w:t>
      </w:r>
      <w:r w:rsidR="000707A7" w:rsidRPr="006023BE">
        <w:rPr>
          <w:rFonts w:ascii="Times New Roman" w:hAnsi="Times New Roman" w:cs="Times New Roman"/>
          <w:sz w:val="24"/>
          <w:szCs w:val="24"/>
        </w:rPr>
        <w:t>r</w:t>
      </w:r>
      <w:r w:rsidR="00B2797B" w:rsidRPr="006023BE">
        <w:rPr>
          <w:rFonts w:ascii="Times New Roman" w:hAnsi="Times New Roman" w:cs="Times New Roman"/>
          <w:sz w:val="24"/>
          <w:szCs w:val="24"/>
        </w:rPr>
        <w:t xml:space="preserve"> secular-constitutional, in a sovereign </w:t>
      </w:r>
      <w:r w:rsidR="00D236B6" w:rsidRPr="006023BE">
        <w:rPr>
          <w:rFonts w:ascii="Times New Roman" w:hAnsi="Times New Roman" w:cs="Times New Roman"/>
          <w:sz w:val="24"/>
          <w:szCs w:val="24"/>
        </w:rPr>
        <w:t>that is no longer assumed to be absolutely just</w:t>
      </w:r>
      <w:r w:rsidRPr="006023BE">
        <w:rPr>
          <w:rFonts w:ascii="Times New Roman" w:hAnsi="Times New Roman" w:cs="Times New Roman"/>
          <w:sz w:val="24"/>
          <w:szCs w:val="24"/>
        </w:rPr>
        <w:t xml:space="preserve">?  One might, </w:t>
      </w:r>
      <w:r w:rsidR="00D236B6" w:rsidRPr="006023BE">
        <w:rPr>
          <w:rFonts w:ascii="Times New Roman" w:hAnsi="Times New Roman" w:cs="Times New Roman"/>
          <w:sz w:val="24"/>
          <w:szCs w:val="24"/>
        </w:rPr>
        <w:t xml:space="preserve">of course, </w:t>
      </w:r>
      <w:r w:rsidRPr="006023BE">
        <w:rPr>
          <w:rFonts w:ascii="Times New Roman" w:hAnsi="Times New Roman" w:cs="Times New Roman"/>
          <w:sz w:val="24"/>
          <w:szCs w:val="24"/>
        </w:rPr>
        <w:t>s</w:t>
      </w:r>
      <w:r w:rsidR="00D236B6" w:rsidRPr="006023BE">
        <w:rPr>
          <w:rFonts w:ascii="Times New Roman" w:hAnsi="Times New Roman" w:cs="Times New Roman"/>
          <w:sz w:val="24"/>
          <w:szCs w:val="24"/>
        </w:rPr>
        <w:t>imply forego any independent inquiry about justice by proclaiming that justice is whatever the sovereign authority says it is, period, end of discussion</w:t>
      </w:r>
      <w:r w:rsidRPr="006023BE">
        <w:rPr>
          <w:rFonts w:ascii="Times New Roman" w:hAnsi="Times New Roman" w:cs="Times New Roman"/>
          <w:sz w:val="24"/>
          <w:szCs w:val="24"/>
        </w:rPr>
        <w:t xml:space="preserve">.  Perhaps that is the grim meaning of Job, though, frankly, it seems far easier to view God as simply terrorizing Job in order to test his bet with Satan about Job’s willingness, when placed under sufficient pressure, to renounce God.  Job, of course, does not, but, frankly, does that make any sense in terms that ordinary people can understand?  </w:t>
      </w:r>
    </w:p>
    <w:p w14:paraId="70EC8AA0" w14:textId="77777777" w:rsidR="00B2797B" w:rsidRPr="006023BE" w:rsidRDefault="0048182E" w:rsidP="00DC4CB9">
      <w:pPr>
        <w:spacing w:line="480" w:lineRule="auto"/>
        <w:ind w:firstLine="720"/>
        <w:rPr>
          <w:rFonts w:ascii="Times New Roman" w:hAnsi="Times New Roman" w:cs="Times New Roman"/>
          <w:sz w:val="24"/>
          <w:szCs w:val="24"/>
        </w:rPr>
      </w:pPr>
      <w:r w:rsidRPr="006023BE">
        <w:rPr>
          <w:rFonts w:ascii="Times New Roman" w:hAnsi="Times New Roman" w:cs="Times New Roman"/>
          <w:sz w:val="24"/>
          <w:szCs w:val="24"/>
        </w:rPr>
        <w:t>Perhaps the most moving image in the Torah is Abraham contending with God over the justice of destroying Sodom.</w:t>
      </w:r>
      <w:r w:rsidRPr="006023BE">
        <w:rPr>
          <w:rStyle w:val="FootnoteReference"/>
          <w:rFonts w:ascii="Times New Roman" w:hAnsi="Times New Roman" w:cs="Times New Roman"/>
          <w:sz w:val="24"/>
          <w:szCs w:val="24"/>
        </w:rPr>
        <w:footnoteReference w:id="9"/>
      </w:r>
      <w:r w:rsidRPr="006023BE">
        <w:rPr>
          <w:rFonts w:ascii="Times New Roman" w:hAnsi="Times New Roman" w:cs="Times New Roman"/>
          <w:sz w:val="24"/>
          <w:szCs w:val="24"/>
        </w:rPr>
        <w:t xml:space="preserve"> </w:t>
      </w:r>
      <w:r w:rsidR="0059374D" w:rsidRPr="006023BE">
        <w:rPr>
          <w:rFonts w:ascii="Times New Roman" w:hAnsi="Times New Roman" w:cs="Times New Roman"/>
          <w:sz w:val="24"/>
          <w:szCs w:val="24"/>
        </w:rPr>
        <w:t xml:space="preserve"> But, of course, that is </w:t>
      </w:r>
      <w:r w:rsidR="0059374D" w:rsidRPr="006023BE">
        <w:rPr>
          <w:rFonts w:ascii="Times New Roman" w:hAnsi="Times New Roman" w:cs="Times New Roman"/>
          <w:i/>
          <w:sz w:val="24"/>
          <w:szCs w:val="24"/>
        </w:rPr>
        <w:t xml:space="preserve">not </w:t>
      </w:r>
      <w:r w:rsidR="0059374D" w:rsidRPr="006023BE">
        <w:rPr>
          <w:rFonts w:ascii="Times New Roman" w:hAnsi="Times New Roman" w:cs="Times New Roman"/>
          <w:sz w:val="24"/>
          <w:szCs w:val="24"/>
        </w:rPr>
        <w:t>the portion that we are asked to contemplate on Rosh Hashanah.  Instead, we are given two portions that are quintessentially about submission to Divine will</w:t>
      </w:r>
      <w:r w:rsidR="00D420CE" w:rsidRPr="006023BE">
        <w:rPr>
          <w:rFonts w:ascii="Times New Roman" w:hAnsi="Times New Roman" w:cs="Times New Roman"/>
          <w:sz w:val="24"/>
          <w:szCs w:val="24"/>
        </w:rPr>
        <w:t xml:space="preserve"> and the suspension of ordinary ethical judgment</w:t>
      </w:r>
      <w:r w:rsidR="0059374D" w:rsidRPr="006023BE">
        <w:rPr>
          <w:rFonts w:ascii="Times New Roman" w:hAnsi="Times New Roman" w:cs="Times New Roman"/>
          <w:sz w:val="24"/>
          <w:szCs w:val="24"/>
        </w:rPr>
        <w:t>.</w:t>
      </w:r>
      <w:r w:rsidR="00001ED3" w:rsidRPr="006023BE">
        <w:rPr>
          <w:rFonts w:ascii="Times New Roman" w:hAnsi="Times New Roman" w:cs="Times New Roman"/>
          <w:sz w:val="24"/>
          <w:szCs w:val="24"/>
        </w:rPr>
        <w:t xml:space="preserve">  I will return to them presently, after </w:t>
      </w:r>
      <w:r w:rsidR="00141680" w:rsidRPr="006023BE">
        <w:rPr>
          <w:rFonts w:ascii="Times New Roman" w:hAnsi="Times New Roman" w:cs="Times New Roman"/>
          <w:sz w:val="24"/>
          <w:szCs w:val="24"/>
        </w:rPr>
        <w:t>speaking a bit of some central dilemmas posed by our civil religion</w:t>
      </w:r>
      <w:r w:rsidR="00001ED3" w:rsidRPr="006023BE">
        <w:rPr>
          <w:rFonts w:ascii="Times New Roman" w:hAnsi="Times New Roman" w:cs="Times New Roman"/>
          <w:sz w:val="24"/>
          <w:szCs w:val="24"/>
        </w:rPr>
        <w:t>.</w:t>
      </w:r>
    </w:p>
    <w:p w14:paraId="3D8F19EE" w14:textId="32AC8375" w:rsidR="00D236B6" w:rsidRPr="006023BE" w:rsidRDefault="00D236B6" w:rsidP="00DC4CB9">
      <w:pPr>
        <w:spacing w:line="480" w:lineRule="auto"/>
        <w:ind w:firstLine="720"/>
        <w:rPr>
          <w:rFonts w:ascii="Times New Roman" w:hAnsi="Times New Roman" w:cs="Times New Roman"/>
          <w:sz w:val="24"/>
          <w:szCs w:val="24"/>
        </w:rPr>
      </w:pPr>
      <w:r w:rsidRPr="006023BE">
        <w:rPr>
          <w:rFonts w:ascii="Times New Roman" w:hAnsi="Times New Roman" w:cs="Times New Roman"/>
          <w:sz w:val="24"/>
          <w:szCs w:val="24"/>
        </w:rPr>
        <w:t xml:space="preserve">As it happens, I am teaching the first-year constitutional law course at Yale </w:t>
      </w:r>
      <w:r w:rsidR="001D49B1" w:rsidRPr="006023BE">
        <w:rPr>
          <w:rFonts w:ascii="Times New Roman" w:hAnsi="Times New Roman" w:cs="Times New Roman"/>
          <w:sz w:val="24"/>
          <w:szCs w:val="24"/>
        </w:rPr>
        <w:t>during the fall 2011 semester</w:t>
      </w:r>
      <w:r w:rsidRPr="006023BE">
        <w:rPr>
          <w:rFonts w:ascii="Times New Roman" w:hAnsi="Times New Roman" w:cs="Times New Roman"/>
          <w:sz w:val="24"/>
          <w:szCs w:val="24"/>
        </w:rPr>
        <w:t xml:space="preserve">, and I am immersed, once again, in my own wrestling with the implications of such </w:t>
      </w:r>
      <w:r w:rsidR="0059374D" w:rsidRPr="006023BE">
        <w:rPr>
          <w:rFonts w:ascii="Times New Roman" w:hAnsi="Times New Roman" w:cs="Times New Roman"/>
          <w:sz w:val="24"/>
          <w:szCs w:val="24"/>
        </w:rPr>
        <w:t xml:space="preserve">canonical </w:t>
      </w:r>
      <w:r w:rsidRPr="006023BE">
        <w:rPr>
          <w:rFonts w:ascii="Times New Roman" w:hAnsi="Times New Roman" w:cs="Times New Roman"/>
          <w:sz w:val="24"/>
          <w:szCs w:val="24"/>
        </w:rPr>
        <w:t xml:space="preserve">cases as </w:t>
      </w:r>
      <w:r w:rsidRPr="006023BE">
        <w:rPr>
          <w:rFonts w:ascii="Times New Roman" w:hAnsi="Times New Roman" w:cs="Times New Roman"/>
          <w:i/>
          <w:sz w:val="24"/>
          <w:szCs w:val="24"/>
        </w:rPr>
        <w:t>McCulloch v. Maryland</w:t>
      </w:r>
      <w:r w:rsidR="001D49B1" w:rsidRPr="006023BE">
        <w:rPr>
          <w:rStyle w:val="FootnoteReference"/>
          <w:rFonts w:ascii="Times New Roman" w:hAnsi="Times New Roman" w:cs="Times New Roman"/>
          <w:i/>
          <w:sz w:val="24"/>
          <w:szCs w:val="24"/>
        </w:rPr>
        <w:footnoteReference w:id="10"/>
      </w:r>
      <w:r w:rsidRPr="006023BE">
        <w:rPr>
          <w:rFonts w:ascii="Times New Roman" w:hAnsi="Times New Roman" w:cs="Times New Roman"/>
          <w:i/>
          <w:sz w:val="24"/>
          <w:szCs w:val="24"/>
        </w:rPr>
        <w:t xml:space="preserve"> </w:t>
      </w:r>
      <w:r w:rsidRPr="006023BE">
        <w:rPr>
          <w:rFonts w:ascii="Times New Roman" w:hAnsi="Times New Roman" w:cs="Times New Roman"/>
          <w:sz w:val="24"/>
          <w:szCs w:val="24"/>
        </w:rPr>
        <w:t xml:space="preserve">and </w:t>
      </w:r>
      <w:r w:rsidRPr="006023BE">
        <w:rPr>
          <w:rFonts w:ascii="Times New Roman" w:hAnsi="Times New Roman" w:cs="Times New Roman"/>
          <w:i/>
          <w:sz w:val="24"/>
          <w:szCs w:val="24"/>
        </w:rPr>
        <w:t>Fletcher v. Peck</w:t>
      </w:r>
      <w:r w:rsidR="0059374D" w:rsidRPr="006023BE">
        <w:rPr>
          <w:rFonts w:ascii="Times New Roman" w:hAnsi="Times New Roman" w:cs="Times New Roman"/>
          <w:i/>
          <w:sz w:val="24"/>
          <w:szCs w:val="24"/>
        </w:rPr>
        <w:t>.</w:t>
      </w:r>
      <w:r w:rsidR="001D49B1" w:rsidRPr="006023BE">
        <w:rPr>
          <w:rStyle w:val="FootnoteReference"/>
          <w:rFonts w:ascii="Times New Roman" w:hAnsi="Times New Roman" w:cs="Times New Roman"/>
          <w:i/>
          <w:sz w:val="24"/>
          <w:szCs w:val="24"/>
        </w:rPr>
        <w:footnoteReference w:id="11"/>
      </w:r>
      <w:r w:rsidR="0059374D" w:rsidRPr="006023BE">
        <w:rPr>
          <w:rFonts w:ascii="Times New Roman" w:hAnsi="Times New Roman" w:cs="Times New Roman"/>
          <w:i/>
          <w:sz w:val="24"/>
          <w:szCs w:val="24"/>
        </w:rPr>
        <w:t xml:space="preserve">  </w:t>
      </w:r>
      <w:r w:rsidR="0059374D" w:rsidRPr="006023BE">
        <w:rPr>
          <w:rFonts w:ascii="Times New Roman" w:hAnsi="Times New Roman" w:cs="Times New Roman"/>
          <w:sz w:val="24"/>
          <w:szCs w:val="24"/>
        </w:rPr>
        <w:t>This particular semester, for whatever reason, my course has turned into an extended examination of a single word, “sovereignty.”  John M</w:t>
      </w:r>
      <w:r w:rsidRPr="006023BE">
        <w:rPr>
          <w:rFonts w:ascii="Times New Roman" w:hAnsi="Times New Roman" w:cs="Times New Roman"/>
          <w:sz w:val="24"/>
          <w:szCs w:val="24"/>
        </w:rPr>
        <w:t>arshall</w:t>
      </w:r>
      <w:r w:rsidR="0059374D" w:rsidRPr="006023BE">
        <w:rPr>
          <w:rFonts w:ascii="Times New Roman" w:hAnsi="Times New Roman" w:cs="Times New Roman"/>
          <w:sz w:val="24"/>
          <w:szCs w:val="24"/>
        </w:rPr>
        <w:t xml:space="preserve"> </w:t>
      </w:r>
      <w:r w:rsidRPr="006023BE">
        <w:rPr>
          <w:rFonts w:ascii="Times New Roman" w:hAnsi="Times New Roman" w:cs="Times New Roman"/>
          <w:sz w:val="24"/>
          <w:szCs w:val="24"/>
        </w:rPr>
        <w:t xml:space="preserve">begins </w:t>
      </w:r>
      <w:r w:rsidRPr="006023BE">
        <w:rPr>
          <w:rFonts w:ascii="Times New Roman" w:hAnsi="Times New Roman" w:cs="Times New Roman"/>
          <w:i/>
          <w:sz w:val="24"/>
          <w:szCs w:val="24"/>
        </w:rPr>
        <w:t xml:space="preserve">McCulloch </w:t>
      </w:r>
      <w:r w:rsidRPr="006023BE">
        <w:rPr>
          <w:rFonts w:ascii="Times New Roman" w:hAnsi="Times New Roman" w:cs="Times New Roman"/>
          <w:sz w:val="24"/>
          <w:szCs w:val="24"/>
        </w:rPr>
        <w:t>by referring to Maryland as a “sovereign state,”</w:t>
      </w:r>
      <w:r w:rsidR="00DE5167">
        <w:rPr>
          <w:rStyle w:val="FootnoteReference"/>
          <w:rFonts w:ascii="Times New Roman" w:hAnsi="Times New Roman" w:cs="Times New Roman"/>
          <w:sz w:val="24"/>
          <w:szCs w:val="24"/>
        </w:rPr>
        <w:footnoteReference w:id="12"/>
      </w:r>
      <w:r w:rsidRPr="006023BE">
        <w:rPr>
          <w:rFonts w:ascii="Times New Roman" w:hAnsi="Times New Roman" w:cs="Times New Roman"/>
          <w:sz w:val="24"/>
          <w:szCs w:val="24"/>
        </w:rPr>
        <w:t xml:space="preserve"> and the mystery </w:t>
      </w:r>
      <w:r w:rsidR="0059374D" w:rsidRPr="006023BE">
        <w:rPr>
          <w:rFonts w:ascii="Times New Roman" w:hAnsi="Times New Roman" w:cs="Times New Roman"/>
          <w:sz w:val="24"/>
          <w:szCs w:val="24"/>
        </w:rPr>
        <w:t xml:space="preserve">posed by </w:t>
      </w:r>
      <w:r w:rsidRPr="006023BE">
        <w:rPr>
          <w:rFonts w:ascii="Times New Roman" w:hAnsi="Times New Roman" w:cs="Times New Roman"/>
          <w:i/>
          <w:sz w:val="24"/>
          <w:szCs w:val="24"/>
        </w:rPr>
        <w:t xml:space="preserve">McCulloch </w:t>
      </w:r>
      <w:r w:rsidRPr="006023BE">
        <w:rPr>
          <w:rFonts w:ascii="Times New Roman" w:hAnsi="Times New Roman" w:cs="Times New Roman"/>
          <w:sz w:val="24"/>
          <w:szCs w:val="24"/>
        </w:rPr>
        <w:t>(and Marshall) is what can possibly be meant by this</w:t>
      </w:r>
      <w:r w:rsidR="001A3213" w:rsidRPr="006023BE">
        <w:rPr>
          <w:rFonts w:ascii="Times New Roman" w:hAnsi="Times New Roman" w:cs="Times New Roman"/>
          <w:sz w:val="24"/>
          <w:szCs w:val="24"/>
        </w:rPr>
        <w:t xml:space="preserve">.  After all, the most </w:t>
      </w:r>
      <w:r w:rsidRPr="006023BE">
        <w:rPr>
          <w:rFonts w:ascii="Times New Roman" w:hAnsi="Times New Roman" w:cs="Times New Roman"/>
          <w:sz w:val="24"/>
          <w:szCs w:val="24"/>
        </w:rPr>
        <w:t xml:space="preserve">basic meaning of the case is the </w:t>
      </w:r>
      <w:r w:rsidR="001A3213" w:rsidRPr="006023BE">
        <w:rPr>
          <w:rFonts w:ascii="Times New Roman" w:hAnsi="Times New Roman" w:cs="Times New Roman"/>
          <w:sz w:val="24"/>
          <w:szCs w:val="24"/>
        </w:rPr>
        <w:t xml:space="preserve">fact that </w:t>
      </w:r>
      <w:r w:rsidRPr="006023BE">
        <w:rPr>
          <w:rFonts w:ascii="Times New Roman" w:hAnsi="Times New Roman" w:cs="Times New Roman"/>
          <w:sz w:val="24"/>
          <w:szCs w:val="24"/>
        </w:rPr>
        <w:t>M</w:t>
      </w:r>
      <w:r w:rsidR="001A3213" w:rsidRPr="006023BE">
        <w:rPr>
          <w:rFonts w:ascii="Times New Roman" w:hAnsi="Times New Roman" w:cs="Times New Roman"/>
          <w:sz w:val="24"/>
          <w:szCs w:val="24"/>
        </w:rPr>
        <w:t xml:space="preserve">arshall interprets the Constitution as stripping Maryland </w:t>
      </w:r>
      <w:r w:rsidRPr="006023BE">
        <w:rPr>
          <w:rFonts w:ascii="Times New Roman" w:hAnsi="Times New Roman" w:cs="Times New Roman"/>
          <w:sz w:val="24"/>
          <w:szCs w:val="24"/>
        </w:rPr>
        <w:t xml:space="preserve">of an elemental power of sovereignty, which is to levy taxes </w:t>
      </w:r>
      <w:r w:rsidRPr="006023BE">
        <w:rPr>
          <w:rFonts w:ascii="Times New Roman" w:hAnsi="Times New Roman" w:cs="Times New Roman"/>
          <w:sz w:val="24"/>
          <w:szCs w:val="24"/>
        </w:rPr>
        <w:lastRenderedPageBreak/>
        <w:t>against whatever entities i</w:t>
      </w:r>
      <w:r w:rsidR="001A3213" w:rsidRPr="006023BE">
        <w:rPr>
          <w:rFonts w:ascii="Times New Roman" w:hAnsi="Times New Roman" w:cs="Times New Roman"/>
          <w:sz w:val="24"/>
          <w:szCs w:val="24"/>
        </w:rPr>
        <w:t>t</w:t>
      </w:r>
      <w:r w:rsidRPr="006023BE">
        <w:rPr>
          <w:rFonts w:ascii="Times New Roman" w:hAnsi="Times New Roman" w:cs="Times New Roman"/>
          <w:sz w:val="24"/>
          <w:szCs w:val="24"/>
        </w:rPr>
        <w:t xml:space="preserve"> wishes within the State of Maryland.  </w:t>
      </w:r>
      <w:r w:rsidR="001A3213" w:rsidRPr="006023BE">
        <w:rPr>
          <w:rFonts w:ascii="Times New Roman" w:hAnsi="Times New Roman" w:cs="Times New Roman"/>
          <w:sz w:val="24"/>
          <w:szCs w:val="24"/>
        </w:rPr>
        <w:t xml:space="preserve">And, notably, he can point to nothing in the </w:t>
      </w:r>
      <w:r w:rsidR="001A3213" w:rsidRPr="006023BE">
        <w:rPr>
          <w:rFonts w:ascii="Times New Roman" w:hAnsi="Times New Roman" w:cs="Times New Roman"/>
          <w:i/>
          <w:sz w:val="24"/>
          <w:szCs w:val="24"/>
        </w:rPr>
        <w:t>text</w:t>
      </w:r>
      <w:r w:rsidR="001A3213" w:rsidRPr="006023BE">
        <w:rPr>
          <w:rFonts w:ascii="Times New Roman" w:hAnsi="Times New Roman" w:cs="Times New Roman"/>
          <w:sz w:val="24"/>
          <w:szCs w:val="24"/>
        </w:rPr>
        <w:t xml:space="preserve"> of the Constitution that requires such an outcome.  Instead, he derives it from the “texture” of the Constitution and the fact that formerly independent states have now agreed to join a distinctly new federal Union, with the necessary diminution of sovereignty that entails.</w:t>
      </w:r>
      <w:r w:rsidR="000A006E">
        <w:rPr>
          <w:rStyle w:val="FootnoteReference"/>
          <w:rFonts w:ascii="Times New Roman" w:hAnsi="Times New Roman" w:cs="Times New Roman"/>
          <w:sz w:val="24"/>
          <w:szCs w:val="24"/>
        </w:rPr>
        <w:footnoteReference w:id="13"/>
      </w:r>
      <w:r w:rsidR="001A3213" w:rsidRPr="006023BE">
        <w:rPr>
          <w:rFonts w:ascii="Times New Roman" w:hAnsi="Times New Roman" w:cs="Times New Roman"/>
          <w:sz w:val="24"/>
          <w:szCs w:val="24"/>
        </w:rPr>
        <w:t xml:space="preserve">  </w:t>
      </w:r>
      <w:r w:rsidRPr="006023BE">
        <w:rPr>
          <w:rFonts w:ascii="Times New Roman" w:hAnsi="Times New Roman" w:cs="Times New Roman"/>
          <w:i/>
          <w:sz w:val="24"/>
          <w:szCs w:val="24"/>
        </w:rPr>
        <w:t>A</w:t>
      </w:r>
      <w:r w:rsidRPr="006023BE">
        <w:rPr>
          <w:rFonts w:ascii="Times New Roman" w:hAnsi="Times New Roman" w:cs="Times New Roman"/>
          <w:sz w:val="24"/>
          <w:szCs w:val="24"/>
        </w:rPr>
        <w:t xml:space="preserve"> possible </w:t>
      </w:r>
      <w:r w:rsidR="001A3213" w:rsidRPr="006023BE">
        <w:rPr>
          <w:rFonts w:ascii="Times New Roman" w:hAnsi="Times New Roman" w:cs="Times New Roman"/>
          <w:sz w:val="24"/>
          <w:szCs w:val="24"/>
        </w:rPr>
        <w:t xml:space="preserve">solution of the Marshallian mystery, </w:t>
      </w:r>
      <w:r w:rsidRPr="006023BE">
        <w:rPr>
          <w:rFonts w:ascii="Times New Roman" w:hAnsi="Times New Roman" w:cs="Times New Roman"/>
          <w:sz w:val="24"/>
          <w:szCs w:val="24"/>
        </w:rPr>
        <w:t>of course, is to refer to the notion of “dual sovereignty,”</w:t>
      </w:r>
      <w:r w:rsidR="00DE5167">
        <w:rPr>
          <w:rStyle w:val="FootnoteReference"/>
          <w:rFonts w:ascii="Times New Roman" w:hAnsi="Times New Roman" w:cs="Times New Roman"/>
          <w:sz w:val="24"/>
          <w:szCs w:val="24"/>
        </w:rPr>
        <w:footnoteReference w:id="14"/>
      </w:r>
      <w:r w:rsidRPr="006023BE">
        <w:rPr>
          <w:rFonts w:ascii="Times New Roman" w:hAnsi="Times New Roman" w:cs="Times New Roman"/>
          <w:sz w:val="24"/>
          <w:szCs w:val="24"/>
        </w:rPr>
        <w:t xml:space="preserve"> the exercise of power by two (equal?) governments over the same territory and people</w:t>
      </w:r>
      <w:r w:rsidR="001C0DFE">
        <w:rPr>
          <w:rFonts w:ascii="Times New Roman" w:hAnsi="Times New Roman" w:cs="Times New Roman"/>
          <w:sz w:val="24"/>
          <w:szCs w:val="24"/>
        </w:rPr>
        <w:t>.  Even the notion of a single “sovereign” is scarcely unproblematic, and doubling the number only makes things ever more complicated.</w:t>
      </w:r>
      <w:r w:rsidR="001C0DFE">
        <w:rPr>
          <w:rStyle w:val="FootnoteReference"/>
          <w:rFonts w:ascii="Times New Roman" w:hAnsi="Times New Roman" w:cs="Times New Roman"/>
          <w:sz w:val="24"/>
          <w:szCs w:val="24"/>
        </w:rPr>
        <w:footnoteReference w:id="15"/>
      </w:r>
      <w:r w:rsidR="001C0DFE">
        <w:rPr>
          <w:rFonts w:ascii="Times New Roman" w:hAnsi="Times New Roman" w:cs="Times New Roman"/>
          <w:sz w:val="24"/>
          <w:szCs w:val="24"/>
        </w:rPr>
        <w:t xml:space="preserve">  </w:t>
      </w:r>
    </w:p>
    <w:p w14:paraId="35E29867" w14:textId="2EDA8574" w:rsidR="00141680" w:rsidRPr="00186411" w:rsidRDefault="001A3213" w:rsidP="00186411">
      <w:pPr>
        <w:pStyle w:val="NormalWeb"/>
        <w:spacing w:line="480" w:lineRule="auto"/>
        <w:ind w:firstLine="720"/>
        <w:rPr>
          <w:color w:val="auto"/>
        </w:rPr>
      </w:pPr>
      <w:r w:rsidRPr="00186411">
        <w:rPr>
          <w:i/>
          <w:color w:val="auto"/>
        </w:rPr>
        <w:t>Fletcher v. Peck</w:t>
      </w:r>
      <w:r w:rsidR="00DE5167" w:rsidRPr="00186411">
        <w:rPr>
          <w:rStyle w:val="FootnoteReference"/>
          <w:i/>
          <w:color w:val="auto"/>
        </w:rPr>
        <w:footnoteReference w:id="16"/>
      </w:r>
      <w:r w:rsidRPr="00186411">
        <w:rPr>
          <w:i/>
          <w:color w:val="auto"/>
        </w:rPr>
        <w:t xml:space="preserve">, </w:t>
      </w:r>
      <w:r w:rsidRPr="00186411">
        <w:rPr>
          <w:color w:val="auto"/>
        </w:rPr>
        <w:t xml:space="preserve">ostensibly about the state’s duty to honor its contracts, even if they are the product of legislative corruption, takes us even closer to my topic today.  </w:t>
      </w:r>
      <w:r w:rsidR="006E2D76" w:rsidRPr="00186411">
        <w:rPr>
          <w:color w:val="auto"/>
        </w:rPr>
        <w:t>The majority, through Marshall, based the invalidation either on the pure text of the Constitution—the Contract Clause of Article I, Section 10—o</w:t>
      </w:r>
      <w:r w:rsidR="00D420CE" w:rsidRPr="00186411">
        <w:rPr>
          <w:color w:val="auto"/>
        </w:rPr>
        <w:t>r</w:t>
      </w:r>
      <w:r w:rsidR="006E2D76" w:rsidRPr="00186411">
        <w:rPr>
          <w:color w:val="auto"/>
        </w:rPr>
        <w:t xml:space="preserve"> on “general principles which are common to our free institutions.”</w:t>
      </w:r>
      <w:r w:rsidR="00DE5167" w:rsidRPr="00186411">
        <w:rPr>
          <w:rStyle w:val="FootnoteReference"/>
          <w:color w:val="auto"/>
        </w:rPr>
        <w:footnoteReference w:id="17"/>
      </w:r>
      <w:r w:rsidR="006E2D76" w:rsidRPr="00186411">
        <w:rPr>
          <w:color w:val="auto"/>
        </w:rPr>
        <w:t xml:space="preserve">  </w:t>
      </w:r>
      <w:r w:rsidR="00186411" w:rsidRPr="00186411">
        <w:rPr>
          <w:color w:val="auto"/>
        </w:rPr>
        <w:t>But c</w:t>
      </w:r>
      <w:r w:rsidR="001C0DFE" w:rsidRPr="00186411">
        <w:rPr>
          <w:color w:val="auto"/>
        </w:rPr>
        <w:t xml:space="preserve">onsider the </w:t>
      </w:r>
      <w:r w:rsidR="00186411" w:rsidRPr="00186411">
        <w:rPr>
          <w:color w:val="auto"/>
        </w:rPr>
        <w:t xml:space="preserve">effective beginning of </w:t>
      </w:r>
      <w:r w:rsidR="001C0DFE" w:rsidRPr="00186411">
        <w:rPr>
          <w:color w:val="auto"/>
        </w:rPr>
        <w:t xml:space="preserve">Justice Johnson’s concurring opinion in </w:t>
      </w:r>
      <w:r w:rsidR="00186411" w:rsidRPr="00186411">
        <w:rPr>
          <w:color w:val="auto"/>
        </w:rPr>
        <w:t xml:space="preserve">that case.  </w:t>
      </w:r>
      <w:r w:rsidR="00186411">
        <w:rPr>
          <w:color w:val="auto"/>
        </w:rPr>
        <w:t>He does “</w:t>
      </w:r>
      <w:r w:rsidR="00186411" w:rsidRPr="00186411">
        <w:rPr>
          <w:color w:val="auto"/>
          <w:lang w:val="en"/>
        </w:rPr>
        <w:t>not hesitate to declare that a State does not possess the power of revoking its own grants.</w:t>
      </w:r>
      <w:r w:rsidR="00186411">
        <w:rPr>
          <w:color w:val="auto"/>
          <w:lang w:val="en"/>
        </w:rPr>
        <w:t>”  But he writes his own separate opinion because he bases that conclusion “</w:t>
      </w:r>
      <w:r w:rsidR="00186411" w:rsidRPr="00186411">
        <w:rPr>
          <w:color w:val="auto"/>
          <w:lang w:val="en"/>
        </w:rPr>
        <w:t xml:space="preserve">on a general principle, on the reason and nature of things: a principle which will impose laws even on </w:t>
      </w:r>
      <w:r w:rsidR="00186411" w:rsidRPr="00186411">
        <w:rPr>
          <w:color w:val="auto"/>
          <w:lang w:val="en"/>
        </w:rPr>
        <w:lastRenderedPageBreak/>
        <w:t>the deity.”</w:t>
      </w:r>
      <w:r w:rsidR="00DE5167" w:rsidRPr="00186411">
        <w:rPr>
          <w:rStyle w:val="FootnoteReference"/>
          <w:color w:val="auto"/>
        </w:rPr>
        <w:footnoteReference w:id="18"/>
      </w:r>
      <w:r w:rsidR="006E2D76" w:rsidRPr="00186411">
        <w:rPr>
          <w:color w:val="auto"/>
        </w:rPr>
        <w:t xml:space="preserve">  This is obviously a remarkable statement, though it is scarcely unprecedented.  It is, after all, the basis of Plato’s famous discussion in the </w:t>
      </w:r>
      <w:r w:rsidR="006E2D76" w:rsidRPr="00186411">
        <w:rPr>
          <w:i/>
          <w:color w:val="auto"/>
        </w:rPr>
        <w:t>Euthy</w:t>
      </w:r>
      <w:r w:rsidR="00186411">
        <w:rPr>
          <w:i/>
          <w:color w:val="auto"/>
        </w:rPr>
        <w:t>f</w:t>
      </w:r>
      <w:r w:rsidR="006E2D76" w:rsidRPr="00186411">
        <w:rPr>
          <w:i/>
          <w:color w:val="auto"/>
        </w:rPr>
        <w:t>ro</w:t>
      </w:r>
      <w:r w:rsidR="006E2D76" w:rsidRPr="00186411">
        <w:rPr>
          <w:color w:val="auto"/>
        </w:rPr>
        <w:t xml:space="preserve">, which asked whether justice consists of whatever is commanded by God or, instead, whether it is independent of God and therefore allows us to evaluate God’s own acts by comparing them to the criteria </w:t>
      </w:r>
      <w:r w:rsidR="00E93F27" w:rsidRPr="00186411">
        <w:rPr>
          <w:color w:val="auto"/>
        </w:rPr>
        <w:t>we use to measure justice.</w:t>
      </w:r>
      <w:r w:rsidR="00DE5167" w:rsidRPr="00186411">
        <w:rPr>
          <w:rStyle w:val="FootnoteReference"/>
          <w:color w:val="auto"/>
        </w:rPr>
        <w:footnoteReference w:id="19"/>
      </w:r>
      <w:r w:rsidR="00141680" w:rsidRPr="00186411">
        <w:rPr>
          <w:color w:val="auto"/>
        </w:rPr>
        <w:t xml:space="preserve">  </w:t>
      </w:r>
    </w:p>
    <w:p w14:paraId="411B6AB3" w14:textId="77777777" w:rsidR="00D926BA" w:rsidRDefault="00141680" w:rsidP="00DC4CB9">
      <w:pPr>
        <w:spacing w:line="480" w:lineRule="auto"/>
        <w:ind w:firstLine="720"/>
        <w:rPr>
          <w:rFonts w:ascii="Times New Roman" w:hAnsi="Times New Roman" w:cs="Times New Roman"/>
          <w:sz w:val="24"/>
          <w:szCs w:val="24"/>
        </w:rPr>
      </w:pPr>
      <w:r w:rsidRPr="006023BE">
        <w:rPr>
          <w:rFonts w:ascii="Times New Roman" w:hAnsi="Times New Roman" w:cs="Times New Roman"/>
          <w:sz w:val="24"/>
          <w:szCs w:val="24"/>
        </w:rPr>
        <w:t xml:space="preserve">Whatever one thinks of Johnson’s invocation of truly transcendental norms, it should be clear that </w:t>
      </w:r>
      <w:r w:rsidR="00D420CE" w:rsidRPr="006023BE">
        <w:rPr>
          <w:rFonts w:ascii="Times New Roman" w:hAnsi="Times New Roman" w:cs="Times New Roman"/>
          <w:sz w:val="24"/>
          <w:szCs w:val="24"/>
        </w:rPr>
        <w:t xml:space="preserve">the dominant strands of American constitution have gone in quite different directions.  They are, </w:t>
      </w:r>
      <w:r w:rsidRPr="006023BE">
        <w:rPr>
          <w:rFonts w:ascii="Times New Roman" w:hAnsi="Times New Roman" w:cs="Times New Roman"/>
          <w:sz w:val="24"/>
          <w:szCs w:val="24"/>
        </w:rPr>
        <w:t xml:space="preserve">rightly or wrongly, far more positivistic.  Marshall, in </w:t>
      </w:r>
      <w:r w:rsidRPr="006023BE">
        <w:rPr>
          <w:rFonts w:ascii="Times New Roman" w:hAnsi="Times New Roman" w:cs="Times New Roman"/>
          <w:i/>
          <w:sz w:val="24"/>
          <w:szCs w:val="24"/>
        </w:rPr>
        <w:t>The Antelope,</w:t>
      </w:r>
      <w:r w:rsidR="004C64F5" w:rsidRPr="006023BE">
        <w:rPr>
          <w:rStyle w:val="FootnoteReference"/>
          <w:rFonts w:ascii="Times New Roman" w:hAnsi="Times New Roman" w:cs="Times New Roman"/>
          <w:i/>
          <w:sz w:val="24"/>
          <w:szCs w:val="24"/>
        </w:rPr>
        <w:footnoteReference w:id="20"/>
      </w:r>
      <w:r w:rsidRPr="006023BE">
        <w:rPr>
          <w:rFonts w:ascii="Times New Roman" w:hAnsi="Times New Roman" w:cs="Times New Roman"/>
          <w:i/>
          <w:sz w:val="24"/>
          <w:szCs w:val="24"/>
        </w:rPr>
        <w:t xml:space="preserve"> </w:t>
      </w:r>
      <w:r w:rsidRPr="006023BE">
        <w:rPr>
          <w:rFonts w:ascii="Times New Roman" w:hAnsi="Times New Roman" w:cs="Times New Roman"/>
          <w:sz w:val="24"/>
          <w:szCs w:val="24"/>
        </w:rPr>
        <w:t>a case about slavery—a principal focus of my course, for reasons that should now be obvious—took pains to distinguish between the roles of the “jurist” and the “moralist.”</w:t>
      </w:r>
      <w:r w:rsidR="00DE5167">
        <w:rPr>
          <w:rStyle w:val="FootnoteReference"/>
          <w:rFonts w:ascii="Times New Roman" w:hAnsi="Times New Roman" w:cs="Times New Roman"/>
          <w:sz w:val="24"/>
          <w:szCs w:val="24"/>
        </w:rPr>
        <w:footnoteReference w:id="21"/>
      </w:r>
      <w:r w:rsidRPr="006023BE">
        <w:rPr>
          <w:rFonts w:ascii="Times New Roman" w:hAnsi="Times New Roman" w:cs="Times New Roman"/>
          <w:sz w:val="24"/>
          <w:szCs w:val="24"/>
        </w:rPr>
        <w:t xml:space="preserve">  As I tell my students, if a judge posits such a distinction, you know immediately which choice he or she will make.  Indeed, we are told again and again by judges that their duty is to be faithful enforcers of the law</w:t>
      </w:r>
      <w:r w:rsidR="008C1483" w:rsidRPr="006023BE">
        <w:rPr>
          <w:rFonts w:ascii="Times New Roman" w:hAnsi="Times New Roman" w:cs="Times New Roman"/>
          <w:sz w:val="24"/>
          <w:szCs w:val="24"/>
        </w:rPr>
        <w:t xml:space="preserve">.  </w:t>
      </w:r>
      <w:r w:rsidR="00D420CE" w:rsidRPr="006023BE">
        <w:rPr>
          <w:rFonts w:ascii="Times New Roman" w:hAnsi="Times New Roman" w:cs="Times New Roman"/>
          <w:sz w:val="24"/>
          <w:szCs w:val="24"/>
        </w:rPr>
        <w:t xml:space="preserve">“It is not the province of the court,” Chief Justice Roger Taney wrote in </w:t>
      </w:r>
      <w:r w:rsidR="00D420CE" w:rsidRPr="006023BE">
        <w:rPr>
          <w:rFonts w:ascii="Times New Roman" w:hAnsi="Times New Roman" w:cs="Times New Roman"/>
          <w:i/>
          <w:sz w:val="24"/>
          <w:szCs w:val="24"/>
        </w:rPr>
        <w:t>Dred Scott,</w:t>
      </w:r>
      <w:r w:rsidR="004C64F5" w:rsidRPr="006023BE">
        <w:rPr>
          <w:rStyle w:val="FootnoteReference"/>
          <w:rFonts w:ascii="Times New Roman" w:hAnsi="Times New Roman" w:cs="Times New Roman"/>
          <w:i/>
          <w:sz w:val="24"/>
          <w:szCs w:val="24"/>
        </w:rPr>
        <w:footnoteReference w:id="22"/>
      </w:r>
      <w:r w:rsidR="00D420CE" w:rsidRPr="006023BE">
        <w:rPr>
          <w:rFonts w:ascii="Times New Roman" w:hAnsi="Times New Roman" w:cs="Times New Roman"/>
          <w:i/>
          <w:sz w:val="24"/>
          <w:szCs w:val="24"/>
        </w:rPr>
        <w:t xml:space="preserve"> </w:t>
      </w:r>
      <w:r w:rsidR="00D420CE" w:rsidRPr="006023BE">
        <w:rPr>
          <w:rFonts w:ascii="Times New Roman" w:hAnsi="Times New Roman" w:cs="Times New Roman"/>
          <w:sz w:val="24"/>
          <w:szCs w:val="24"/>
        </w:rPr>
        <w:t>“to decide upon the justice or injustice . . . of these laws.”</w:t>
      </w:r>
      <w:r w:rsidR="00DE5167">
        <w:rPr>
          <w:rStyle w:val="FootnoteReference"/>
          <w:rFonts w:ascii="Times New Roman" w:hAnsi="Times New Roman" w:cs="Times New Roman"/>
          <w:sz w:val="24"/>
          <w:szCs w:val="24"/>
        </w:rPr>
        <w:footnoteReference w:id="23"/>
      </w:r>
      <w:r w:rsidR="00D420CE" w:rsidRPr="006023BE">
        <w:rPr>
          <w:rFonts w:ascii="Times New Roman" w:hAnsi="Times New Roman" w:cs="Times New Roman"/>
          <w:sz w:val="24"/>
          <w:szCs w:val="24"/>
        </w:rPr>
        <w:t xml:space="preserve">  Even if we are properly repelled by </w:t>
      </w:r>
      <w:r w:rsidR="00D420CE" w:rsidRPr="006023BE">
        <w:rPr>
          <w:rFonts w:ascii="Times New Roman" w:hAnsi="Times New Roman" w:cs="Times New Roman"/>
          <w:i/>
          <w:sz w:val="24"/>
          <w:szCs w:val="24"/>
        </w:rPr>
        <w:t xml:space="preserve">Dred Scott, </w:t>
      </w:r>
      <w:r w:rsidR="00D926BA">
        <w:rPr>
          <w:rFonts w:ascii="Times New Roman" w:hAnsi="Times New Roman" w:cs="Times New Roman"/>
          <w:sz w:val="24"/>
          <w:szCs w:val="24"/>
        </w:rPr>
        <w:t>it is a separate question whether we equally reject T</w:t>
      </w:r>
      <w:r w:rsidR="00D420CE" w:rsidRPr="006023BE">
        <w:rPr>
          <w:rFonts w:ascii="Times New Roman" w:hAnsi="Times New Roman" w:cs="Times New Roman"/>
          <w:sz w:val="24"/>
          <w:szCs w:val="24"/>
        </w:rPr>
        <w:t xml:space="preserve">aney’s description of the judge’s limited role?  </w:t>
      </w:r>
      <w:r w:rsidR="008C1483" w:rsidRPr="006023BE">
        <w:rPr>
          <w:rFonts w:ascii="Times New Roman" w:hAnsi="Times New Roman" w:cs="Times New Roman"/>
          <w:sz w:val="24"/>
          <w:szCs w:val="24"/>
        </w:rPr>
        <w:t>One might hope</w:t>
      </w:r>
      <w:r w:rsidR="00D420CE" w:rsidRPr="006023BE">
        <w:rPr>
          <w:rFonts w:ascii="Times New Roman" w:hAnsi="Times New Roman" w:cs="Times New Roman"/>
          <w:sz w:val="24"/>
          <w:szCs w:val="24"/>
        </w:rPr>
        <w:t xml:space="preserve"> </w:t>
      </w:r>
      <w:r w:rsidR="008C1483" w:rsidRPr="006023BE">
        <w:rPr>
          <w:rFonts w:ascii="Times New Roman" w:hAnsi="Times New Roman" w:cs="Times New Roman"/>
          <w:sz w:val="24"/>
          <w:szCs w:val="24"/>
        </w:rPr>
        <w:t xml:space="preserve">that </w:t>
      </w:r>
      <w:r w:rsidR="00D420CE" w:rsidRPr="006023BE">
        <w:rPr>
          <w:rFonts w:ascii="Times New Roman" w:hAnsi="Times New Roman" w:cs="Times New Roman"/>
          <w:sz w:val="24"/>
          <w:szCs w:val="24"/>
        </w:rPr>
        <w:t>law</w:t>
      </w:r>
      <w:r w:rsidR="008C1483" w:rsidRPr="006023BE">
        <w:rPr>
          <w:rFonts w:ascii="Times New Roman" w:hAnsi="Times New Roman" w:cs="Times New Roman"/>
          <w:sz w:val="24"/>
          <w:szCs w:val="24"/>
        </w:rPr>
        <w:t xml:space="preserve"> will be congruent with justice or morality, but that is only a contingent </w:t>
      </w:r>
      <w:r w:rsidR="008C1483" w:rsidRPr="006023BE">
        <w:rPr>
          <w:rFonts w:ascii="Times New Roman" w:hAnsi="Times New Roman" w:cs="Times New Roman"/>
          <w:sz w:val="24"/>
          <w:szCs w:val="24"/>
        </w:rPr>
        <w:lastRenderedPageBreak/>
        <w:t>possibility</w:t>
      </w:r>
      <w:r w:rsidR="00D926BA">
        <w:rPr>
          <w:rFonts w:ascii="Times New Roman" w:hAnsi="Times New Roman" w:cs="Times New Roman"/>
          <w:sz w:val="24"/>
          <w:szCs w:val="24"/>
        </w:rPr>
        <w:t>, unless one accepts a notion of “natural law” that simply refuses to label as “law” anything that violates basic morality.</w:t>
      </w:r>
      <w:r w:rsidR="00D926BA">
        <w:rPr>
          <w:rStyle w:val="FootnoteReference"/>
          <w:rFonts w:ascii="Times New Roman" w:hAnsi="Times New Roman" w:cs="Times New Roman"/>
          <w:sz w:val="24"/>
          <w:szCs w:val="24"/>
        </w:rPr>
        <w:footnoteReference w:id="24"/>
      </w:r>
      <w:r w:rsidR="008C1483" w:rsidRPr="006023BE">
        <w:rPr>
          <w:rFonts w:ascii="Times New Roman" w:hAnsi="Times New Roman" w:cs="Times New Roman"/>
          <w:sz w:val="24"/>
          <w:szCs w:val="24"/>
        </w:rPr>
        <w:t xml:space="preserve">  </w:t>
      </w:r>
      <w:r w:rsidR="00D926BA">
        <w:rPr>
          <w:rFonts w:ascii="Times New Roman" w:hAnsi="Times New Roman" w:cs="Times New Roman"/>
          <w:sz w:val="24"/>
          <w:szCs w:val="24"/>
        </w:rPr>
        <w:t>But for those who reject the identity of law with morality, it is, presumably, the lawyer’s (and judge’s) duty to give precedence to the law</w:t>
      </w:r>
      <w:r w:rsidR="008C1483" w:rsidRPr="006023BE">
        <w:rPr>
          <w:rFonts w:ascii="Times New Roman" w:hAnsi="Times New Roman" w:cs="Times New Roman"/>
          <w:sz w:val="24"/>
          <w:szCs w:val="24"/>
        </w:rPr>
        <w:t xml:space="preserve">, perhaps accompanied by a plea that the legislature pass a corrective statute or even that the complex machinery of constitutional amendment should be revved up.  </w:t>
      </w:r>
      <w:r w:rsidR="00D926BA">
        <w:rPr>
          <w:rFonts w:ascii="Times New Roman" w:hAnsi="Times New Roman" w:cs="Times New Roman"/>
          <w:sz w:val="24"/>
          <w:szCs w:val="24"/>
        </w:rPr>
        <w:t xml:space="preserve">Or, if the lawyer-judge rejects obedience to the law, he or she must acknowledge the commission of civil disobedience, which may be morally admirable but, nevertheless, constitutes, by definition, defiance of the law.  </w:t>
      </w:r>
    </w:p>
    <w:p w14:paraId="50FD7232" w14:textId="05711F3C" w:rsidR="00D420CE" w:rsidRPr="006023BE" w:rsidRDefault="008C1483" w:rsidP="00DC4CB9">
      <w:pPr>
        <w:spacing w:line="480" w:lineRule="auto"/>
        <w:ind w:firstLine="720"/>
        <w:rPr>
          <w:rFonts w:ascii="Times New Roman" w:hAnsi="Times New Roman" w:cs="Times New Roman"/>
          <w:i/>
          <w:sz w:val="24"/>
          <w:szCs w:val="24"/>
        </w:rPr>
      </w:pPr>
      <w:r w:rsidRPr="006023BE">
        <w:rPr>
          <w:rFonts w:ascii="Times New Roman" w:hAnsi="Times New Roman" w:cs="Times New Roman"/>
          <w:sz w:val="24"/>
          <w:szCs w:val="24"/>
        </w:rPr>
        <w:t xml:space="preserve">The obvious question is why anyone should “venerate’ a constitution—or a legal system—that produces what might be termed “too many instances” of incongruence between law and justice.  No one can expect perfect congruence, but how much imperfection—and about what issues—constitutes a breaking point?  And what should our response be to a system that may generally be acceptably just but, however, is monumentally unjust with regard to a single issue of </w:t>
      </w:r>
      <w:r w:rsidR="00D420CE" w:rsidRPr="006023BE">
        <w:rPr>
          <w:rFonts w:ascii="Times New Roman" w:hAnsi="Times New Roman" w:cs="Times New Roman"/>
          <w:sz w:val="24"/>
          <w:szCs w:val="24"/>
        </w:rPr>
        <w:t xml:space="preserve">overwhelming </w:t>
      </w:r>
      <w:r w:rsidRPr="006023BE">
        <w:rPr>
          <w:rFonts w:ascii="Times New Roman" w:hAnsi="Times New Roman" w:cs="Times New Roman"/>
          <w:sz w:val="24"/>
          <w:szCs w:val="24"/>
        </w:rPr>
        <w:t>importance?  It is no coincidence that the class</w:t>
      </w:r>
      <w:r w:rsidR="00595CA6">
        <w:rPr>
          <w:rFonts w:ascii="Times New Roman" w:hAnsi="Times New Roman" w:cs="Times New Roman"/>
          <w:sz w:val="24"/>
          <w:szCs w:val="24"/>
        </w:rPr>
        <w:t>es</w:t>
      </w:r>
      <w:r w:rsidRPr="006023BE">
        <w:rPr>
          <w:rFonts w:ascii="Times New Roman" w:hAnsi="Times New Roman" w:cs="Times New Roman"/>
          <w:sz w:val="24"/>
          <w:szCs w:val="24"/>
        </w:rPr>
        <w:t xml:space="preserve"> I taught </w:t>
      </w:r>
      <w:r w:rsidR="00D420CE" w:rsidRPr="006023BE">
        <w:rPr>
          <w:rFonts w:ascii="Times New Roman" w:hAnsi="Times New Roman" w:cs="Times New Roman"/>
          <w:sz w:val="24"/>
          <w:szCs w:val="24"/>
        </w:rPr>
        <w:t xml:space="preserve">only </w:t>
      </w:r>
      <w:r w:rsidR="00D926BA">
        <w:rPr>
          <w:rFonts w:ascii="Times New Roman" w:hAnsi="Times New Roman" w:cs="Times New Roman"/>
          <w:sz w:val="24"/>
          <w:szCs w:val="24"/>
        </w:rPr>
        <w:t>the week before my initial presentation of these remarks s</w:t>
      </w:r>
      <w:r w:rsidR="00A403C5" w:rsidRPr="006023BE">
        <w:rPr>
          <w:rFonts w:ascii="Times New Roman" w:hAnsi="Times New Roman" w:cs="Times New Roman"/>
          <w:sz w:val="24"/>
          <w:szCs w:val="24"/>
        </w:rPr>
        <w:t xml:space="preserve">egued into an unplanned discussion of Justice Thurgood Marshall’s famous 1987 declaration that he was </w:t>
      </w:r>
      <w:r w:rsidR="00A403C5" w:rsidRPr="006023BE">
        <w:rPr>
          <w:rFonts w:ascii="Times New Roman" w:hAnsi="Times New Roman" w:cs="Times New Roman"/>
          <w:i/>
          <w:sz w:val="24"/>
          <w:szCs w:val="24"/>
        </w:rPr>
        <w:t xml:space="preserve">not </w:t>
      </w:r>
      <w:r w:rsidR="00A403C5" w:rsidRPr="006023BE">
        <w:rPr>
          <w:rFonts w:ascii="Times New Roman" w:hAnsi="Times New Roman" w:cs="Times New Roman"/>
          <w:sz w:val="24"/>
          <w:szCs w:val="24"/>
        </w:rPr>
        <w:t>particularly interested in celebrating the bicentennial of the United States Constitution.</w:t>
      </w:r>
      <w:r w:rsidR="00595CA6">
        <w:rPr>
          <w:rStyle w:val="FootnoteReference"/>
          <w:rFonts w:ascii="Times New Roman" w:hAnsi="Times New Roman" w:cs="Times New Roman"/>
          <w:sz w:val="24"/>
          <w:szCs w:val="24"/>
        </w:rPr>
        <w:footnoteReference w:id="25"/>
      </w:r>
      <w:r w:rsidR="00A403C5" w:rsidRPr="006023BE">
        <w:rPr>
          <w:rFonts w:ascii="Times New Roman" w:hAnsi="Times New Roman" w:cs="Times New Roman"/>
          <w:sz w:val="24"/>
          <w:szCs w:val="24"/>
        </w:rPr>
        <w:t xml:space="preserve">  </w:t>
      </w:r>
      <w:r w:rsidR="00A403C5" w:rsidRPr="006023BE">
        <w:rPr>
          <w:rFonts w:ascii="Times New Roman" w:hAnsi="Times New Roman" w:cs="Times New Roman"/>
          <w:i/>
          <w:sz w:val="24"/>
          <w:szCs w:val="24"/>
        </w:rPr>
        <w:t xml:space="preserve">His </w:t>
      </w:r>
      <w:r w:rsidR="00A403C5" w:rsidRPr="006023BE">
        <w:rPr>
          <w:rFonts w:ascii="Times New Roman" w:hAnsi="Times New Roman" w:cs="Times New Roman"/>
          <w:sz w:val="24"/>
          <w:szCs w:val="24"/>
        </w:rPr>
        <w:t xml:space="preserve">Constitution, he suggested, began in 1868, with the addition of the Fourteenth Amendment (not to mention the Thirteenth Amendment that in 1865 formally abolished slavery), and not a 1787 document that significantly </w:t>
      </w:r>
      <w:r w:rsidR="00A403C5" w:rsidRPr="006023BE">
        <w:rPr>
          <w:rFonts w:ascii="Times New Roman" w:hAnsi="Times New Roman" w:cs="Times New Roman"/>
          <w:sz w:val="24"/>
          <w:szCs w:val="24"/>
        </w:rPr>
        <w:lastRenderedPageBreak/>
        <w:t xml:space="preserve">entrenched the power of slaveowners and led to such excrescences as </w:t>
      </w:r>
      <w:r w:rsidR="00A403C5" w:rsidRPr="006023BE">
        <w:rPr>
          <w:rFonts w:ascii="Times New Roman" w:hAnsi="Times New Roman" w:cs="Times New Roman"/>
          <w:i/>
          <w:sz w:val="24"/>
          <w:szCs w:val="24"/>
        </w:rPr>
        <w:t>Prigg v. Pennsylvania</w:t>
      </w:r>
      <w:r w:rsidR="004C64F5" w:rsidRPr="006023BE">
        <w:rPr>
          <w:rStyle w:val="FootnoteReference"/>
          <w:rFonts w:ascii="Times New Roman" w:hAnsi="Times New Roman" w:cs="Times New Roman"/>
          <w:i/>
          <w:sz w:val="24"/>
          <w:szCs w:val="24"/>
        </w:rPr>
        <w:footnoteReference w:id="26"/>
      </w:r>
      <w:r w:rsidR="00A403C5" w:rsidRPr="006023BE">
        <w:rPr>
          <w:rFonts w:ascii="Times New Roman" w:hAnsi="Times New Roman" w:cs="Times New Roman"/>
          <w:i/>
          <w:sz w:val="24"/>
          <w:szCs w:val="24"/>
        </w:rPr>
        <w:t xml:space="preserve"> </w:t>
      </w:r>
      <w:r w:rsidR="00A403C5" w:rsidRPr="006023BE">
        <w:rPr>
          <w:rFonts w:ascii="Times New Roman" w:hAnsi="Times New Roman" w:cs="Times New Roman"/>
          <w:sz w:val="24"/>
          <w:szCs w:val="24"/>
        </w:rPr>
        <w:t xml:space="preserve">and </w:t>
      </w:r>
      <w:r w:rsidR="00A403C5" w:rsidRPr="006023BE">
        <w:rPr>
          <w:rFonts w:ascii="Times New Roman" w:hAnsi="Times New Roman" w:cs="Times New Roman"/>
          <w:i/>
          <w:sz w:val="24"/>
          <w:szCs w:val="24"/>
        </w:rPr>
        <w:t>Dred Scott</w:t>
      </w:r>
      <w:r w:rsidR="00D420CE" w:rsidRPr="006023BE">
        <w:rPr>
          <w:rFonts w:ascii="Times New Roman" w:hAnsi="Times New Roman" w:cs="Times New Roman"/>
          <w:i/>
          <w:sz w:val="24"/>
          <w:szCs w:val="24"/>
        </w:rPr>
        <w:t xml:space="preserve">, </w:t>
      </w:r>
      <w:r w:rsidR="00D420CE" w:rsidRPr="006023BE">
        <w:rPr>
          <w:rFonts w:ascii="Times New Roman" w:hAnsi="Times New Roman" w:cs="Times New Roman"/>
          <w:sz w:val="24"/>
          <w:szCs w:val="24"/>
        </w:rPr>
        <w:t xml:space="preserve">the topic of </w:t>
      </w:r>
      <w:r w:rsidR="00595CA6">
        <w:rPr>
          <w:rFonts w:ascii="Times New Roman" w:hAnsi="Times New Roman" w:cs="Times New Roman"/>
          <w:sz w:val="24"/>
          <w:szCs w:val="24"/>
        </w:rPr>
        <w:t>those</w:t>
      </w:r>
      <w:r w:rsidR="00D420CE" w:rsidRPr="006023BE">
        <w:rPr>
          <w:rFonts w:ascii="Times New Roman" w:hAnsi="Times New Roman" w:cs="Times New Roman"/>
          <w:sz w:val="24"/>
          <w:szCs w:val="24"/>
        </w:rPr>
        <w:t xml:space="preserve"> classes</w:t>
      </w:r>
      <w:r w:rsidR="00A403C5" w:rsidRPr="006023BE">
        <w:rPr>
          <w:rFonts w:ascii="Times New Roman" w:hAnsi="Times New Roman" w:cs="Times New Roman"/>
          <w:i/>
          <w:sz w:val="24"/>
          <w:szCs w:val="24"/>
        </w:rPr>
        <w:t xml:space="preserve">.  </w:t>
      </w:r>
    </w:p>
    <w:p w14:paraId="2612CCA5" w14:textId="77777777" w:rsidR="006E2D76" w:rsidRPr="006023BE" w:rsidRDefault="00A403C5" w:rsidP="00DC4CB9">
      <w:pPr>
        <w:spacing w:line="480" w:lineRule="auto"/>
        <w:ind w:firstLine="720"/>
        <w:rPr>
          <w:rFonts w:ascii="Times New Roman" w:hAnsi="Times New Roman" w:cs="Times New Roman"/>
          <w:sz w:val="24"/>
          <w:szCs w:val="24"/>
        </w:rPr>
      </w:pPr>
      <w:r w:rsidRPr="006023BE">
        <w:rPr>
          <w:rFonts w:ascii="Times New Roman" w:hAnsi="Times New Roman" w:cs="Times New Roman"/>
          <w:sz w:val="24"/>
          <w:szCs w:val="24"/>
        </w:rPr>
        <w:t>Why should the Constitution be celebrated—or deemed “sovereign” over us—if it is fundamentally unjust</w:t>
      </w:r>
      <w:r w:rsidR="00C42B33" w:rsidRPr="006023BE">
        <w:rPr>
          <w:rFonts w:ascii="Times New Roman" w:hAnsi="Times New Roman" w:cs="Times New Roman"/>
          <w:sz w:val="24"/>
          <w:szCs w:val="24"/>
        </w:rPr>
        <w:t>?</w:t>
      </w:r>
      <w:r w:rsidRPr="006023BE">
        <w:rPr>
          <w:rFonts w:ascii="Times New Roman" w:hAnsi="Times New Roman" w:cs="Times New Roman"/>
          <w:sz w:val="24"/>
          <w:szCs w:val="24"/>
        </w:rPr>
        <w:t xml:space="preserve">  And, obviously, the metric by</w:t>
      </w:r>
      <w:r w:rsidR="000707A7" w:rsidRPr="006023BE">
        <w:rPr>
          <w:rFonts w:ascii="Times New Roman" w:hAnsi="Times New Roman" w:cs="Times New Roman"/>
          <w:sz w:val="24"/>
          <w:szCs w:val="24"/>
        </w:rPr>
        <w:t xml:space="preserve"> which we judge the Constitution,</w:t>
      </w:r>
      <w:r w:rsidRPr="006023BE">
        <w:rPr>
          <w:rFonts w:ascii="Times New Roman" w:hAnsi="Times New Roman" w:cs="Times New Roman"/>
          <w:sz w:val="24"/>
          <w:szCs w:val="24"/>
        </w:rPr>
        <w:t xml:space="preserve"> as hinted by Johnson, </w:t>
      </w:r>
      <w:r w:rsidR="00C42B33" w:rsidRPr="006023BE">
        <w:rPr>
          <w:rFonts w:ascii="Times New Roman" w:hAnsi="Times New Roman" w:cs="Times New Roman"/>
          <w:sz w:val="24"/>
          <w:szCs w:val="24"/>
        </w:rPr>
        <w:t>must come f</w:t>
      </w:r>
      <w:r w:rsidRPr="006023BE">
        <w:rPr>
          <w:rFonts w:ascii="Times New Roman" w:hAnsi="Times New Roman" w:cs="Times New Roman"/>
          <w:sz w:val="24"/>
          <w:szCs w:val="24"/>
        </w:rPr>
        <w:t xml:space="preserve">rom </w:t>
      </w:r>
      <w:r w:rsidRPr="006023BE">
        <w:rPr>
          <w:rFonts w:ascii="Times New Roman" w:hAnsi="Times New Roman" w:cs="Times New Roman"/>
          <w:i/>
          <w:sz w:val="24"/>
          <w:szCs w:val="24"/>
        </w:rPr>
        <w:t xml:space="preserve">outside </w:t>
      </w:r>
      <w:r w:rsidRPr="006023BE">
        <w:rPr>
          <w:rFonts w:ascii="Times New Roman" w:hAnsi="Times New Roman" w:cs="Times New Roman"/>
          <w:sz w:val="24"/>
          <w:szCs w:val="24"/>
        </w:rPr>
        <w:t>the Constitution itself.  We stand in judgment over the Constitution, rather than accept as “justice” whatever the Constitution is thought to require</w:t>
      </w:r>
      <w:r w:rsidR="000B4E41" w:rsidRPr="006023BE">
        <w:rPr>
          <w:rFonts w:ascii="Times New Roman" w:hAnsi="Times New Roman" w:cs="Times New Roman"/>
          <w:sz w:val="24"/>
          <w:szCs w:val="24"/>
        </w:rPr>
        <w:t xml:space="preserve">, permit, </w:t>
      </w:r>
      <w:r w:rsidRPr="006023BE">
        <w:rPr>
          <w:rFonts w:ascii="Times New Roman" w:hAnsi="Times New Roman" w:cs="Times New Roman"/>
          <w:sz w:val="24"/>
          <w:szCs w:val="24"/>
        </w:rPr>
        <w:t>or prohibit.</w:t>
      </w:r>
      <w:r w:rsidR="00D420CE" w:rsidRPr="006023BE">
        <w:rPr>
          <w:rFonts w:ascii="Times New Roman" w:hAnsi="Times New Roman" w:cs="Times New Roman"/>
          <w:sz w:val="24"/>
          <w:szCs w:val="24"/>
        </w:rPr>
        <w:t xml:space="preserve">  </w:t>
      </w:r>
      <w:r w:rsidRPr="006023BE">
        <w:rPr>
          <w:rFonts w:ascii="Times New Roman" w:hAnsi="Times New Roman" w:cs="Times New Roman"/>
          <w:sz w:val="24"/>
          <w:szCs w:val="24"/>
        </w:rPr>
        <w:t xml:space="preserve">  </w:t>
      </w:r>
      <w:r w:rsidR="00C42B33" w:rsidRPr="006023BE">
        <w:rPr>
          <w:rFonts w:ascii="Times New Roman" w:hAnsi="Times New Roman" w:cs="Times New Roman"/>
          <w:sz w:val="24"/>
          <w:szCs w:val="24"/>
        </w:rPr>
        <w:t xml:space="preserve"> </w:t>
      </w:r>
    </w:p>
    <w:p w14:paraId="02975923" w14:textId="4E33637B" w:rsidR="00B7471E" w:rsidRPr="006023BE" w:rsidRDefault="00E93F27" w:rsidP="00DC4CB9">
      <w:pPr>
        <w:spacing w:line="480" w:lineRule="auto"/>
        <w:ind w:firstLine="720"/>
        <w:rPr>
          <w:rFonts w:ascii="Times New Roman" w:hAnsi="Times New Roman" w:cs="Times New Roman"/>
          <w:sz w:val="24"/>
          <w:szCs w:val="24"/>
        </w:rPr>
      </w:pPr>
      <w:r w:rsidRPr="006023BE">
        <w:rPr>
          <w:rFonts w:ascii="Times New Roman" w:hAnsi="Times New Roman" w:cs="Times New Roman"/>
          <w:sz w:val="24"/>
          <w:szCs w:val="24"/>
        </w:rPr>
        <w:t xml:space="preserve">Even as I have been </w:t>
      </w:r>
      <w:r w:rsidR="000B4E41" w:rsidRPr="006023BE">
        <w:rPr>
          <w:rFonts w:ascii="Times New Roman" w:hAnsi="Times New Roman" w:cs="Times New Roman"/>
          <w:sz w:val="24"/>
          <w:szCs w:val="24"/>
        </w:rPr>
        <w:t xml:space="preserve">asking my class to wrestle </w:t>
      </w:r>
      <w:r w:rsidRPr="006023BE">
        <w:rPr>
          <w:rFonts w:ascii="Times New Roman" w:hAnsi="Times New Roman" w:cs="Times New Roman"/>
          <w:sz w:val="24"/>
          <w:szCs w:val="24"/>
        </w:rPr>
        <w:t xml:space="preserve">with such questions about interpreting—and </w:t>
      </w:r>
      <w:r w:rsidR="00D420CE" w:rsidRPr="006023BE">
        <w:rPr>
          <w:rFonts w:ascii="Times New Roman" w:hAnsi="Times New Roman" w:cs="Times New Roman"/>
          <w:sz w:val="24"/>
          <w:szCs w:val="24"/>
        </w:rPr>
        <w:t xml:space="preserve">becoming </w:t>
      </w:r>
      <w:r w:rsidRPr="006023BE">
        <w:rPr>
          <w:rFonts w:ascii="Times New Roman" w:hAnsi="Times New Roman" w:cs="Times New Roman"/>
          <w:sz w:val="24"/>
          <w:szCs w:val="24"/>
        </w:rPr>
        <w:t>loyal to—our foundational national document, I h</w:t>
      </w:r>
      <w:r w:rsidR="000B4E41" w:rsidRPr="006023BE">
        <w:rPr>
          <w:rFonts w:ascii="Times New Roman" w:hAnsi="Times New Roman" w:cs="Times New Roman"/>
          <w:sz w:val="24"/>
          <w:szCs w:val="24"/>
        </w:rPr>
        <w:t>ave also had occasion</w:t>
      </w:r>
      <w:r w:rsidR="00D420CE" w:rsidRPr="006023BE">
        <w:rPr>
          <w:rFonts w:ascii="Times New Roman" w:hAnsi="Times New Roman" w:cs="Times New Roman"/>
          <w:sz w:val="24"/>
          <w:szCs w:val="24"/>
        </w:rPr>
        <w:t xml:space="preserve"> been</w:t>
      </w:r>
      <w:r w:rsidRPr="006023BE">
        <w:rPr>
          <w:rFonts w:ascii="Times New Roman" w:hAnsi="Times New Roman" w:cs="Times New Roman"/>
          <w:sz w:val="24"/>
          <w:szCs w:val="24"/>
        </w:rPr>
        <w:t xml:space="preserve"> reminded of the centrality of “sovereignty” to the Jewish liturgy.  </w:t>
      </w:r>
      <w:r w:rsidR="000B4E41" w:rsidRPr="006023BE">
        <w:rPr>
          <w:rFonts w:ascii="Times New Roman" w:hAnsi="Times New Roman" w:cs="Times New Roman"/>
          <w:sz w:val="24"/>
          <w:szCs w:val="24"/>
        </w:rPr>
        <w:t>Before returning to the Rosh Hashanah liturgy, c</w:t>
      </w:r>
      <w:r w:rsidRPr="006023BE">
        <w:rPr>
          <w:rFonts w:ascii="Times New Roman" w:hAnsi="Times New Roman" w:cs="Times New Roman"/>
          <w:sz w:val="24"/>
          <w:szCs w:val="24"/>
        </w:rPr>
        <w:t xml:space="preserve">onsider only what many consider to be the single central proclamation by Jews, no doubt embedded within the memory of any </w:t>
      </w:r>
      <w:r w:rsidR="000B4E41" w:rsidRPr="006023BE">
        <w:rPr>
          <w:rFonts w:ascii="Times New Roman" w:hAnsi="Times New Roman" w:cs="Times New Roman"/>
          <w:sz w:val="24"/>
          <w:szCs w:val="24"/>
        </w:rPr>
        <w:t>now</w:t>
      </w:r>
      <w:r w:rsidR="00D420CE" w:rsidRPr="006023BE">
        <w:rPr>
          <w:rFonts w:ascii="Times New Roman" w:hAnsi="Times New Roman" w:cs="Times New Roman"/>
          <w:sz w:val="24"/>
          <w:szCs w:val="24"/>
        </w:rPr>
        <w:t>-</w:t>
      </w:r>
      <w:r w:rsidRPr="006023BE">
        <w:rPr>
          <w:rFonts w:ascii="Times New Roman" w:hAnsi="Times New Roman" w:cs="Times New Roman"/>
          <w:sz w:val="24"/>
          <w:szCs w:val="24"/>
        </w:rPr>
        <w:t xml:space="preserve">“secular Jew” who </w:t>
      </w:r>
      <w:r w:rsidR="000B4E41" w:rsidRPr="006023BE">
        <w:rPr>
          <w:rFonts w:ascii="Times New Roman" w:hAnsi="Times New Roman" w:cs="Times New Roman"/>
          <w:sz w:val="24"/>
          <w:szCs w:val="24"/>
        </w:rPr>
        <w:t xml:space="preserve">was ever </w:t>
      </w:r>
      <w:r w:rsidR="000B4E41" w:rsidRPr="006023BE">
        <w:rPr>
          <w:rFonts w:ascii="Times New Roman" w:hAnsi="Times New Roman" w:cs="Times New Roman"/>
          <w:i/>
          <w:sz w:val="24"/>
          <w:szCs w:val="24"/>
        </w:rPr>
        <w:t>Bar Mitzvah</w:t>
      </w:r>
      <w:r w:rsidR="000B4E41" w:rsidRPr="006023BE">
        <w:rPr>
          <w:rFonts w:ascii="Times New Roman" w:hAnsi="Times New Roman" w:cs="Times New Roman"/>
          <w:sz w:val="24"/>
          <w:szCs w:val="24"/>
        </w:rPr>
        <w:t xml:space="preserve">ed or otherwise </w:t>
      </w:r>
      <w:r w:rsidRPr="006023BE">
        <w:rPr>
          <w:rFonts w:ascii="Times New Roman" w:hAnsi="Times New Roman" w:cs="Times New Roman"/>
          <w:sz w:val="24"/>
          <w:szCs w:val="24"/>
        </w:rPr>
        <w:t>spent any time in a synagogue</w:t>
      </w:r>
      <w:r w:rsidR="000B4E41" w:rsidRPr="006023BE">
        <w:rPr>
          <w:rFonts w:ascii="Times New Roman" w:hAnsi="Times New Roman" w:cs="Times New Roman"/>
          <w:sz w:val="24"/>
          <w:szCs w:val="24"/>
        </w:rPr>
        <w:t>.  That is t</w:t>
      </w:r>
      <w:r w:rsidRPr="006023BE">
        <w:rPr>
          <w:rFonts w:ascii="Times New Roman" w:hAnsi="Times New Roman" w:cs="Times New Roman"/>
          <w:sz w:val="24"/>
          <w:szCs w:val="24"/>
        </w:rPr>
        <w:t xml:space="preserve">he </w:t>
      </w:r>
      <w:r w:rsidRPr="006023BE">
        <w:rPr>
          <w:rFonts w:ascii="Times New Roman" w:hAnsi="Times New Roman" w:cs="Times New Roman"/>
          <w:i/>
          <w:sz w:val="24"/>
          <w:szCs w:val="24"/>
        </w:rPr>
        <w:t>Sh</w:t>
      </w:r>
      <w:r w:rsidR="00B7471E" w:rsidRPr="006023BE">
        <w:rPr>
          <w:rFonts w:ascii="Times New Roman" w:hAnsi="Times New Roman" w:cs="Times New Roman"/>
          <w:i/>
          <w:sz w:val="24"/>
          <w:szCs w:val="24"/>
        </w:rPr>
        <w:t>’</w:t>
      </w:r>
      <w:r w:rsidRPr="006023BE">
        <w:rPr>
          <w:rFonts w:ascii="Times New Roman" w:hAnsi="Times New Roman" w:cs="Times New Roman"/>
          <w:i/>
          <w:sz w:val="24"/>
          <w:szCs w:val="24"/>
        </w:rPr>
        <w:t>ma</w:t>
      </w:r>
      <w:r w:rsidR="00B7471E" w:rsidRPr="006023BE">
        <w:rPr>
          <w:rFonts w:ascii="Times New Roman" w:hAnsi="Times New Roman" w:cs="Times New Roman"/>
          <w:sz w:val="24"/>
          <w:szCs w:val="24"/>
        </w:rPr>
        <w:t xml:space="preserve">, </w:t>
      </w:r>
      <w:r w:rsidR="000B4E41" w:rsidRPr="006023BE">
        <w:rPr>
          <w:rFonts w:ascii="Times New Roman" w:hAnsi="Times New Roman" w:cs="Times New Roman"/>
          <w:sz w:val="24"/>
          <w:szCs w:val="24"/>
        </w:rPr>
        <w:t>part of every single service, including, of course, th</w:t>
      </w:r>
      <w:r w:rsidR="00B7471E" w:rsidRPr="006023BE">
        <w:rPr>
          <w:rFonts w:ascii="Times New Roman" w:hAnsi="Times New Roman" w:cs="Times New Roman"/>
          <w:sz w:val="24"/>
          <w:szCs w:val="24"/>
        </w:rPr>
        <w:t>e powerful and moving conclusion of the Yom Kippur service</w:t>
      </w:r>
      <w:r w:rsidR="000B4E41" w:rsidRPr="006023BE">
        <w:rPr>
          <w:rFonts w:ascii="Times New Roman" w:hAnsi="Times New Roman" w:cs="Times New Roman"/>
          <w:sz w:val="24"/>
          <w:szCs w:val="24"/>
        </w:rPr>
        <w:t>.</w:t>
      </w:r>
      <w:r w:rsidR="00B7471E" w:rsidRPr="006023BE">
        <w:rPr>
          <w:rFonts w:ascii="Times New Roman" w:hAnsi="Times New Roman" w:cs="Times New Roman"/>
          <w:sz w:val="24"/>
          <w:szCs w:val="24"/>
        </w:rPr>
        <w:t xml:space="preserve">  A </w:t>
      </w:r>
      <w:r w:rsidR="00B7471E" w:rsidRPr="006023BE">
        <w:rPr>
          <w:rFonts w:ascii="Times New Roman" w:hAnsi="Times New Roman" w:cs="Times New Roman"/>
          <w:sz w:val="24"/>
          <w:szCs w:val="24"/>
        </w:rPr>
        <w:lastRenderedPageBreak/>
        <w:t xml:space="preserve">widely used </w:t>
      </w:r>
      <w:r w:rsidR="00B7471E" w:rsidRPr="006023BE">
        <w:rPr>
          <w:rFonts w:ascii="Times New Roman" w:hAnsi="Times New Roman" w:cs="Times New Roman"/>
          <w:i/>
          <w:sz w:val="24"/>
          <w:szCs w:val="24"/>
        </w:rPr>
        <w:t xml:space="preserve">Siddur </w:t>
      </w:r>
      <w:r w:rsidR="00B7471E" w:rsidRPr="006023BE">
        <w:rPr>
          <w:rFonts w:ascii="Times New Roman" w:hAnsi="Times New Roman" w:cs="Times New Roman"/>
          <w:sz w:val="24"/>
          <w:szCs w:val="24"/>
        </w:rPr>
        <w:t xml:space="preserve">comments that the Sh’ma </w:t>
      </w:r>
      <w:r w:rsidRPr="006023BE">
        <w:rPr>
          <w:rFonts w:ascii="Times New Roman" w:hAnsi="Times New Roman" w:cs="Times New Roman"/>
          <w:sz w:val="24"/>
          <w:szCs w:val="24"/>
        </w:rPr>
        <w:t xml:space="preserve"> </w:t>
      </w:r>
      <w:r w:rsidR="00B7471E" w:rsidRPr="006023BE">
        <w:rPr>
          <w:rFonts w:ascii="Times New Roman" w:hAnsi="Times New Roman" w:cs="Times New Roman"/>
          <w:sz w:val="24"/>
          <w:szCs w:val="24"/>
        </w:rPr>
        <w:t>serves as the occasion for the community to “formally affirm God’s sovereignty, freely pledging Him our loyalty.”</w:t>
      </w:r>
      <w:r w:rsidR="004C64F5" w:rsidRPr="006023BE">
        <w:rPr>
          <w:rStyle w:val="FootnoteReference"/>
          <w:rFonts w:ascii="Times New Roman" w:hAnsi="Times New Roman" w:cs="Times New Roman"/>
          <w:sz w:val="24"/>
          <w:szCs w:val="24"/>
        </w:rPr>
        <w:footnoteReference w:id="27"/>
      </w:r>
      <w:r w:rsidR="00B7471E" w:rsidRPr="006023BE">
        <w:rPr>
          <w:rFonts w:ascii="Times New Roman" w:hAnsi="Times New Roman" w:cs="Times New Roman"/>
          <w:sz w:val="24"/>
          <w:szCs w:val="24"/>
        </w:rPr>
        <w:t xml:space="preserve">  </w:t>
      </w:r>
      <w:r w:rsidR="005C06D1" w:rsidRPr="006023BE">
        <w:rPr>
          <w:rFonts w:ascii="Times New Roman" w:hAnsi="Times New Roman" w:cs="Times New Roman"/>
          <w:sz w:val="24"/>
          <w:szCs w:val="24"/>
        </w:rPr>
        <w:t>The Rosh Hashanah service is especially replete with references to God as King and sovereign, most notably, perhaps, as part of the Shofar service, which one commentator analogi</w:t>
      </w:r>
      <w:r w:rsidR="005007DE" w:rsidRPr="006023BE">
        <w:rPr>
          <w:rFonts w:ascii="Times New Roman" w:hAnsi="Times New Roman" w:cs="Times New Roman"/>
          <w:sz w:val="24"/>
          <w:szCs w:val="24"/>
        </w:rPr>
        <w:t>z</w:t>
      </w:r>
      <w:r w:rsidR="005C06D1" w:rsidRPr="006023BE">
        <w:rPr>
          <w:rFonts w:ascii="Times New Roman" w:hAnsi="Times New Roman" w:cs="Times New Roman"/>
          <w:sz w:val="24"/>
          <w:szCs w:val="24"/>
        </w:rPr>
        <w:t>es to the sounds of trumpets blown at a coronation.</w:t>
      </w:r>
      <w:r w:rsidR="005C06D1" w:rsidRPr="006023BE">
        <w:rPr>
          <w:rStyle w:val="FootnoteReference"/>
          <w:rFonts w:ascii="Times New Roman" w:hAnsi="Times New Roman" w:cs="Times New Roman"/>
          <w:sz w:val="24"/>
          <w:szCs w:val="24"/>
        </w:rPr>
        <w:footnoteReference w:id="28"/>
      </w:r>
      <w:r w:rsidR="005C06D1" w:rsidRPr="006023BE">
        <w:rPr>
          <w:rFonts w:ascii="Times New Roman" w:hAnsi="Times New Roman" w:cs="Times New Roman"/>
          <w:sz w:val="24"/>
          <w:szCs w:val="24"/>
        </w:rPr>
        <w:t xml:space="preserve">  It is, obviously, no small matter to recognize someone as sovereign and, even more, to pledge unblinking loyalty.  </w:t>
      </w:r>
      <w:r w:rsidR="00B7471E" w:rsidRPr="006023BE">
        <w:rPr>
          <w:rFonts w:ascii="Times New Roman" w:hAnsi="Times New Roman" w:cs="Times New Roman"/>
          <w:sz w:val="24"/>
          <w:szCs w:val="24"/>
        </w:rPr>
        <w:t xml:space="preserve">  </w:t>
      </w:r>
    </w:p>
    <w:p w14:paraId="03434A6B" w14:textId="77777777" w:rsidR="00705BAB" w:rsidRPr="006023BE" w:rsidRDefault="00B7471E" w:rsidP="00DC4CB9">
      <w:pPr>
        <w:spacing w:line="480" w:lineRule="auto"/>
        <w:ind w:firstLine="720"/>
        <w:rPr>
          <w:rFonts w:ascii="Times New Roman" w:hAnsi="Times New Roman" w:cs="Times New Roman"/>
          <w:sz w:val="24"/>
          <w:szCs w:val="24"/>
        </w:rPr>
      </w:pPr>
      <w:r w:rsidRPr="006023BE">
        <w:rPr>
          <w:rFonts w:ascii="Times New Roman" w:hAnsi="Times New Roman" w:cs="Times New Roman"/>
          <w:sz w:val="24"/>
          <w:szCs w:val="24"/>
        </w:rPr>
        <w:t xml:space="preserve">The </w:t>
      </w:r>
      <w:r w:rsidR="005C06D1" w:rsidRPr="006023BE">
        <w:rPr>
          <w:rFonts w:ascii="Times New Roman" w:hAnsi="Times New Roman" w:cs="Times New Roman"/>
          <w:sz w:val="24"/>
          <w:szCs w:val="24"/>
        </w:rPr>
        <w:t xml:space="preserve">most </w:t>
      </w:r>
      <w:r w:rsidRPr="006023BE">
        <w:rPr>
          <w:rFonts w:ascii="Times New Roman" w:hAnsi="Times New Roman" w:cs="Times New Roman"/>
          <w:sz w:val="24"/>
          <w:szCs w:val="24"/>
        </w:rPr>
        <w:t xml:space="preserve">obvious question raised by the </w:t>
      </w:r>
      <w:r w:rsidRPr="006023BE">
        <w:rPr>
          <w:rFonts w:ascii="Times New Roman" w:hAnsi="Times New Roman" w:cs="Times New Roman"/>
          <w:i/>
          <w:sz w:val="24"/>
          <w:szCs w:val="24"/>
        </w:rPr>
        <w:t xml:space="preserve">Sh’ma </w:t>
      </w:r>
      <w:r w:rsidRPr="006023BE">
        <w:rPr>
          <w:rFonts w:ascii="Times New Roman" w:hAnsi="Times New Roman" w:cs="Times New Roman"/>
          <w:sz w:val="24"/>
          <w:szCs w:val="24"/>
        </w:rPr>
        <w:t>most easily disappear</w:t>
      </w:r>
      <w:r w:rsidR="005C06D1" w:rsidRPr="006023BE">
        <w:rPr>
          <w:rFonts w:ascii="Times New Roman" w:hAnsi="Times New Roman" w:cs="Times New Roman"/>
          <w:sz w:val="24"/>
          <w:szCs w:val="24"/>
        </w:rPr>
        <w:t>s</w:t>
      </w:r>
      <w:r w:rsidRPr="006023BE">
        <w:rPr>
          <w:rFonts w:ascii="Times New Roman" w:hAnsi="Times New Roman" w:cs="Times New Roman"/>
          <w:sz w:val="24"/>
          <w:szCs w:val="24"/>
        </w:rPr>
        <w:t xml:space="preserve"> if one </w:t>
      </w:r>
      <w:r w:rsidR="005C06D1" w:rsidRPr="006023BE">
        <w:rPr>
          <w:rFonts w:ascii="Times New Roman" w:hAnsi="Times New Roman" w:cs="Times New Roman"/>
          <w:sz w:val="24"/>
          <w:szCs w:val="24"/>
        </w:rPr>
        <w:t xml:space="preserve">simply </w:t>
      </w:r>
      <w:r w:rsidRPr="006023BE">
        <w:rPr>
          <w:rFonts w:ascii="Times New Roman" w:hAnsi="Times New Roman" w:cs="Times New Roman"/>
          <w:sz w:val="24"/>
          <w:szCs w:val="24"/>
        </w:rPr>
        <w:t>affirms an atheistic creed, i.e., there exists no God who can claim to be sovereign</w:t>
      </w:r>
      <w:r w:rsidR="004419CF" w:rsidRPr="006023BE">
        <w:rPr>
          <w:rFonts w:ascii="Times New Roman" w:hAnsi="Times New Roman" w:cs="Times New Roman"/>
          <w:sz w:val="24"/>
          <w:szCs w:val="24"/>
        </w:rPr>
        <w:t xml:space="preserve"> and, therefore, no one to whom loyalty is owed.  One need not wrestle with any questions of theodicy because they have been pretermitted by answering </w:t>
      </w:r>
      <w:r w:rsidR="005C06D1" w:rsidRPr="006023BE">
        <w:rPr>
          <w:rFonts w:ascii="Times New Roman" w:hAnsi="Times New Roman" w:cs="Times New Roman"/>
          <w:sz w:val="24"/>
          <w:szCs w:val="24"/>
        </w:rPr>
        <w:t xml:space="preserve">in the negative </w:t>
      </w:r>
      <w:r w:rsidR="004419CF" w:rsidRPr="006023BE">
        <w:rPr>
          <w:rFonts w:ascii="Times New Roman" w:hAnsi="Times New Roman" w:cs="Times New Roman"/>
          <w:sz w:val="24"/>
          <w:szCs w:val="24"/>
        </w:rPr>
        <w:t xml:space="preserve">an earlier </w:t>
      </w:r>
      <w:r w:rsidR="005C06D1" w:rsidRPr="006023BE">
        <w:rPr>
          <w:rFonts w:ascii="Times New Roman" w:hAnsi="Times New Roman" w:cs="Times New Roman"/>
          <w:sz w:val="24"/>
          <w:szCs w:val="24"/>
        </w:rPr>
        <w:t xml:space="preserve">ontological </w:t>
      </w:r>
      <w:r w:rsidR="004419CF" w:rsidRPr="006023BE">
        <w:rPr>
          <w:rFonts w:ascii="Times New Roman" w:hAnsi="Times New Roman" w:cs="Times New Roman"/>
          <w:sz w:val="24"/>
          <w:szCs w:val="24"/>
        </w:rPr>
        <w:t>question</w:t>
      </w:r>
      <w:r w:rsidR="005C06D1" w:rsidRPr="006023BE">
        <w:rPr>
          <w:rFonts w:ascii="Times New Roman" w:hAnsi="Times New Roman" w:cs="Times New Roman"/>
          <w:sz w:val="24"/>
          <w:szCs w:val="24"/>
        </w:rPr>
        <w:t xml:space="preserve">, </w:t>
      </w:r>
      <w:r w:rsidR="004419CF" w:rsidRPr="006023BE">
        <w:rPr>
          <w:rFonts w:ascii="Times New Roman" w:hAnsi="Times New Roman" w:cs="Times New Roman"/>
          <w:sz w:val="24"/>
          <w:szCs w:val="24"/>
        </w:rPr>
        <w:t>Does God exist</w:t>
      </w:r>
      <w:r w:rsidR="005C06D1" w:rsidRPr="006023BE">
        <w:rPr>
          <w:rFonts w:ascii="Times New Roman" w:hAnsi="Times New Roman" w:cs="Times New Roman"/>
          <w:sz w:val="24"/>
          <w:szCs w:val="24"/>
        </w:rPr>
        <w:t>.</w:t>
      </w:r>
      <w:r w:rsidR="004419CF" w:rsidRPr="006023BE">
        <w:rPr>
          <w:rFonts w:ascii="Times New Roman" w:hAnsi="Times New Roman" w:cs="Times New Roman"/>
          <w:sz w:val="24"/>
          <w:szCs w:val="24"/>
        </w:rPr>
        <w:t xml:space="preserve">  Even if one takes this approach to religion, it scarcely helps with regard to what some regard </w:t>
      </w:r>
      <w:r w:rsidR="005007DE" w:rsidRPr="006023BE">
        <w:rPr>
          <w:rFonts w:ascii="Times New Roman" w:hAnsi="Times New Roman" w:cs="Times New Roman"/>
          <w:sz w:val="24"/>
          <w:szCs w:val="24"/>
        </w:rPr>
        <w:t xml:space="preserve">as “sublimated religion,” </w:t>
      </w:r>
      <w:r w:rsidR="004419CF" w:rsidRPr="006023BE">
        <w:rPr>
          <w:rFonts w:ascii="Times New Roman" w:hAnsi="Times New Roman" w:cs="Times New Roman"/>
          <w:sz w:val="24"/>
          <w:szCs w:val="24"/>
        </w:rPr>
        <w:t>the transfer</w:t>
      </w:r>
      <w:r w:rsidR="005007DE" w:rsidRPr="006023BE">
        <w:rPr>
          <w:rFonts w:ascii="Times New Roman" w:hAnsi="Times New Roman" w:cs="Times New Roman"/>
          <w:sz w:val="24"/>
          <w:szCs w:val="24"/>
        </w:rPr>
        <w:t>, beginning sometime in the 16</w:t>
      </w:r>
      <w:r w:rsidR="005007DE" w:rsidRPr="006023BE">
        <w:rPr>
          <w:rFonts w:ascii="Times New Roman" w:hAnsi="Times New Roman" w:cs="Times New Roman"/>
          <w:sz w:val="24"/>
          <w:szCs w:val="24"/>
          <w:vertAlign w:val="superscript"/>
        </w:rPr>
        <w:t>th</w:t>
      </w:r>
      <w:r w:rsidR="005007DE" w:rsidRPr="006023BE">
        <w:rPr>
          <w:rFonts w:ascii="Times New Roman" w:hAnsi="Times New Roman" w:cs="Times New Roman"/>
          <w:sz w:val="24"/>
          <w:szCs w:val="24"/>
        </w:rPr>
        <w:t xml:space="preserve"> century, </w:t>
      </w:r>
      <w:r w:rsidR="004419CF" w:rsidRPr="006023BE">
        <w:rPr>
          <w:rFonts w:ascii="Times New Roman" w:hAnsi="Times New Roman" w:cs="Times New Roman"/>
          <w:sz w:val="24"/>
          <w:szCs w:val="24"/>
        </w:rPr>
        <w:t xml:space="preserve">of the emotions of faith and loyalty </w:t>
      </w:r>
      <w:r w:rsidR="005007DE" w:rsidRPr="006023BE">
        <w:rPr>
          <w:rFonts w:ascii="Times New Roman" w:hAnsi="Times New Roman" w:cs="Times New Roman"/>
          <w:sz w:val="24"/>
          <w:szCs w:val="24"/>
        </w:rPr>
        <w:t>directed to t</w:t>
      </w:r>
      <w:r w:rsidR="004419CF" w:rsidRPr="006023BE">
        <w:rPr>
          <w:rFonts w:ascii="Times New Roman" w:hAnsi="Times New Roman" w:cs="Times New Roman"/>
          <w:sz w:val="24"/>
          <w:szCs w:val="24"/>
        </w:rPr>
        <w:t>raditional religious institutions to the state</w:t>
      </w:r>
      <w:r w:rsidR="005007DE" w:rsidRPr="006023BE">
        <w:rPr>
          <w:rFonts w:ascii="Times New Roman" w:hAnsi="Times New Roman" w:cs="Times New Roman"/>
          <w:sz w:val="24"/>
          <w:szCs w:val="24"/>
        </w:rPr>
        <w:t xml:space="preserve">. </w:t>
      </w:r>
      <w:r w:rsidR="004419CF" w:rsidRPr="006023BE">
        <w:rPr>
          <w:rFonts w:ascii="Times New Roman" w:hAnsi="Times New Roman" w:cs="Times New Roman"/>
          <w:sz w:val="24"/>
          <w:szCs w:val="24"/>
        </w:rPr>
        <w:t xml:space="preserve"> This, after all, is part of the importance of Carl Schmitt’s choosing to title one of his most important books </w:t>
      </w:r>
      <w:r w:rsidR="004419CF" w:rsidRPr="006023BE">
        <w:rPr>
          <w:rFonts w:ascii="Times New Roman" w:hAnsi="Times New Roman" w:cs="Times New Roman"/>
          <w:i/>
          <w:sz w:val="24"/>
          <w:szCs w:val="24"/>
        </w:rPr>
        <w:t xml:space="preserve">Political Theology.  </w:t>
      </w:r>
      <w:r w:rsidR="004419CF" w:rsidRPr="006023BE">
        <w:rPr>
          <w:rFonts w:ascii="Times New Roman" w:hAnsi="Times New Roman" w:cs="Times New Roman"/>
          <w:sz w:val="24"/>
          <w:szCs w:val="24"/>
        </w:rPr>
        <w:t>As Yale professor Paul Kahn argues in a recent meditation on Schmitt,</w:t>
      </w:r>
      <w:r w:rsidR="007215C3" w:rsidRPr="006023BE">
        <w:rPr>
          <w:rStyle w:val="FootnoteReference"/>
          <w:rFonts w:ascii="Times New Roman" w:hAnsi="Times New Roman" w:cs="Times New Roman"/>
          <w:sz w:val="24"/>
          <w:szCs w:val="24"/>
        </w:rPr>
        <w:footnoteReference w:id="29"/>
      </w:r>
      <w:r w:rsidR="004419CF" w:rsidRPr="006023BE">
        <w:rPr>
          <w:rFonts w:ascii="Times New Roman" w:hAnsi="Times New Roman" w:cs="Times New Roman"/>
          <w:sz w:val="24"/>
          <w:szCs w:val="24"/>
        </w:rPr>
        <w:t xml:space="preserve"> one of the most important and, for obvious reasons,</w:t>
      </w:r>
      <w:r w:rsidR="007215C3" w:rsidRPr="006023BE">
        <w:rPr>
          <w:rStyle w:val="FootnoteReference"/>
          <w:rFonts w:ascii="Times New Roman" w:hAnsi="Times New Roman" w:cs="Times New Roman"/>
          <w:sz w:val="24"/>
          <w:szCs w:val="24"/>
        </w:rPr>
        <w:footnoteReference w:id="30"/>
      </w:r>
      <w:r w:rsidR="004419CF" w:rsidRPr="006023BE">
        <w:rPr>
          <w:rFonts w:ascii="Times New Roman" w:hAnsi="Times New Roman" w:cs="Times New Roman"/>
          <w:sz w:val="24"/>
          <w:szCs w:val="24"/>
        </w:rPr>
        <w:t xml:space="preserve"> reprehensible and troublesome, figures in 20</w:t>
      </w:r>
      <w:r w:rsidR="004419CF" w:rsidRPr="006023BE">
        <w:rPr>
          <w:rFonts w:ascii="Times New Roman" w:hAnsi="Times New Roman" w:cs="Times New Roman"/>
          <w:sz w:val="24"/>
          <w:szCs w:val="24"/>
          <w:vertAlign w:val="superscript"/>
        </w:rPr>
        <w:t>th</w:t>
      </w:r>
      <w:r w:rsidR="004419CF" w:rsidRPr="006023BE">
        <w:rPr>
          <w:rFonts w:ascii="Times New Roman" w:hAnsi="Times New Roman" w:cs="Times New Roman"/>
          <w:sz w:val="24"/>
          <w:szCs w:val="24"/>
        </w:rPr>
        <w:t xml:space="preserve"> century jurisprudence, the sacrifice that is the central issue of the </w:t>
      </w:r>
      <w:r w:rsidR="004419CF" w:rsidRPr="006023BE">
        <w:rPr>
          <w:rFonts w:ascii="Times New Roman" w:hAnsi="Times New Roman" w:cs="Times New Roman"/>
          <w:i/>
          <w:sz w:val="24"/>
          <w:szCs w:val="24"/>
        </w:rPr>
        <w:t>Akeda</w:t>
      </w:r>
      <w:r w:rsidR="007215C3" w:rsidRPr="006023BE">
        <w:rPr>
          <w:rFonts w:ascii="Times New Roman" w:hAnsi="Times New Roman" w:cs="Times New Roman"/>
          <w:i/>
          <w:sz w:val="24"/>
          <w:szCs w:val="24"/>
        </w:rPr>
        <w:t>h</w:t>
      </w:r>
      <w:r w:rsidR="004419CF" w:rsidRPr="006023BE">
        <w:rPr>
          <w:rFonts w:ascii="Times New Roman" w:hAnsi="Times New Roman" w:cs="Times New Roman"/>
          <w:sz w:val="24"/>
          <w:szCs w:val="24"/>
        </w:rPr>
        <w:t xml:space="preserve"> is repeated, with far greater bloodthirstiness</w:t>
      </w:r>
      <w:r w:rsidR="005C06D1" w:rsidRPr="006023BE">
        <w:rPr>
          <w:rFonts w:ascii="Times New Roman" w:hAnsi="Times New Roman" w:cs="Times New Roman"/>
          <w:sz w:val="24"/>
          <w:szCs w:val="24"/>
        </w:rPr>
        <w:t xml:space="preserve"> and frequency</w:t>
      </w:r>
      <w:r w:rsidR="004419CF" w:rsidRPr="006023BE">
        <w:rPr>
          <w:rFonts w:ascii="Times New Roman" w:hAnsi="Times New Roman" w:cs="Times New Roman"/>
          <w:sz w:val="24"/>
          <w:szCs w:val="24"/>
        </w:rPr>
        <w:t>, in the claim</w:t>
      </w:r>
      <w:r w:rsidR="005C06D1" w:rsidRPr="006023BE">
        <w:rPr>
          <w:rFonts w:ascii="Times New Roman" w:hAnsi="Times New Roman" w:cs="Times New Roman"/>
          <w:sz w:val="24"/>
          <w:szCs w:val="24"/>
        </w:rPr>
        <w:t>s</w:t>
      </w:r>
      <w:r w:rsidR="004419CF" w:rsidRPr="006023BE">
        <w:rPr>
          <w:rFonts w:ascii="Times New Roman" w:hAnsi="Times New Roman" w:cs="Times New Roman"/>
          <w:sz w:val="24"/>
          <w:szCs w:val="24"/>
        </w:rPr>
        <w:t xml:space="preserve"> of modern state</w:t>
      </w:r>
      <w:r w:rsidR="005C06D1" w:rsidRPr="006023BE">
        <w:rPr>
          <w:rFonts w:ascii="Times New Roman" w:hAnsi="Times New Roman" w:cs="Times New Roman"/>
          <w:sz w:val="24"/>
          <w:szCs w:val="24"/>
        </w:rPr>
        <w:t>s</w:t>
      </w:r>
      <w:r w:rsidR="004419CF" w:rsidRPr="006023BE">
        <w:rPr>
          <w:rFonts w:ascii="Times New Roman" w:hAnsi="Times New Roman" w:cs="Times New Roman"/>
          <w:sz w:val="24"/>
          <w:szCs w:val="24"/>
        </w:rPr>
        <w:t xml:space="preserve"> that </w:t>
      </w:r>
      <w:r w:rsidR="00F170DC" w:rsidRPr="006023BE">
        <w:rPr>
          <w:rFonts w:ascii="Times New Roman" w:hAnsi="Times New Roman" w:cs="Times New Roman"/>
          <w:sz w:val="24"/>
          <w:szCs w:val="24"/>
        </w:rPr>
        <w:t xml:space="preserve">membership </w:t>
      </w:r>
      <w:r w:rsidR="004419CF" w:rsidRPr="006023BE">
        <w:rPr>
          <w:rFonts w:ascii="Times New Roman" w:hAnsi="Times New Roman" w:cs="Times New Roman"/>
          <w:sz w:val="24"/>
          <w:szCs w:val="24"/>
        </w:rPr>
        <w:t xml:space="preserve">involves the duty to kill and, if necessary, to accept the reality that one will be killed in turn in order to </w:t>
      </w:r>
      <w:r w:rsidR="004419CF" w:rsidRPr="006023BE">
        <w:rPr>
          <w:rFonts w:ascii="Times New Roman" w:hAnsi="Times New Roman" w:cs="Times New Roman"/>
          <w:sz w:val="24"/>
          <w:szCs w:val="24"/>
        </w:rPr>
        <w:lastRenderedPageBreak/>
        <w:t>defend the state</w:t>
      </w:r>
      <w:r w:rsidR="005007DE" w:rsidRPr="006023BE">
        <w:rPr>
          <w:rFonts w:ascii="Times New Roman" w:hAnsi="Times New Roman" w:cs="Times New Roman"/>
          <w:sz w:val="24"/>
          <w:szCs w:val="24"/>
        </w:rPr>
        <w:t xml:space="preserve"> and its ostensible interests</w:t>
      </w:r>
      <w:r w:rsidR="004419CF" w:rsidRPr="006023BE">
        <w:rPr>
          <w:rFonts w:ascii="Times New Roman" w:hAnsi="Times New Roman" w:cs="Times New Roman"/>
          <w:sz w:val="24"/>
          <w:szCs w:val="24"/>
        </w:rPr>
        <w:t>.</w:t>
      </w:r>
      <w:r w:rsidR="00F170DC" w:rsidRPr="006023BE">
        <w:rPr>
          <w:rStyle w:val="FootnoteReference"/>
          <w:rFonts w:ascii="Times New Roman" w:hAnsi="Times New Roman" w:cs="Times New Roman"/>
          <w:sz w:val="24"/>
          <w:szCs w:val="24"/>
        </w:rPr>
        <w:footnoteReference w:id="31"/>
      </w:r>
      <w:r w:rsidR="004419CF" w:rsidRPr="006023BE">
        <w:rPr>
          <w:rFonts w:ascii="Times New Roman" w:hAnsi="Times New Roman" w:cs="Times New Roman"/>
          <w:sz w:val="24"/>
          <w:szCs w:val="24"/>
        </w:rPr>
        <w:t xml:space="preserve">  </w:t>
      </w:r>
      <w:r w:rsidR="00C42B33" w:rsidRPr="006023BE">
        <w:rPr>
          <w:rFonts w:ascii="Times New Roman" w:hAnsi="Times New Roman" w:cs="Times New Roman"/>
          <w:sz w:val="24"/>
          <w:szCs w:val="24"/>
        </w:rPr>
        <w:t>One might very well describe one aspect of the “state project” as self-consciously idolatrous inasmuch as it tries to transfer to itself—and to manufacture through education, ritual, and other practices—the unco</w:t>
      </w:r>
      <w:bookmarkStart w:id="0" w:name="_GoBack"/>
      <w:bookmarkEnd w:id="0"/>
      <w:r w:rsidR="00C42B33" w:rsidRPr="006023BE">
        <w:rPr>
          <w:rFonts w:ascii="Times New Roman" w:hAnsi="Times New Roman" w:cs="Times New Roman"/>
          <w:sz w:val="24"/>
          <w:szCs w:val="24"/>
        </w:rPr>
        <w:t>nditional commitments formerly pledged to a divinity.</w:t>
      </w:r>
    </w:p>
    <w:p w14:paraId="478A8EEA" w14:textId="78F7A548" w:rsidR="00CE00B9" w:rsidRPr="006023BE" w:rsidRDefault="00C42B33" w:rsidP="005007DE">
      <w:pPr>
        <w:spacing w:after="240" w:line="480" w:lineRule="auto"/>
        <w:ind w:firstLine="720"/>
        <w:rPr>
          <w:rFonts w:ascii="Times New Roman" w:hAnsi="Times New Roman" w:cs="Times New Roman"/>
          <w:sz w:val="24"/>
          <w:szCs w:val="24"/>
        </w:rPr>
      </w:pPr>
      <w:r w:rsidRPr="006023BE">
        <w:rPr>
          <w:rFonts w:ascii="Times New Roman" w:hAnsi="Times New Roman" w:cs="Times New Roman"/>
          <w:sz w:val="24"/>
          <w:szCs w:val="24"/>
        </w:rPr>
        <w:t>Yet, of course, at least as long as the world does not become wholly secular</w:t>
      </w:r>
      <w:r w:rsidR="002D1DAA" w:rsidRPr="006023BE">
        <w:rPr>
          <w:rFonts w:ascii="Times New Roman" w:hAnsi="Times New Roman" w:cs="Times New Roman"/>
          <w:sz w:val="24"/>
          <w:szCs w:val="24"/>
        </w:rPr>
        <w:t>, the problem of “</w:t>
      </w:r>
      <w:r w:rsidR="000707A7" w:rsidRPr="006023BE">
        <w:rPr>
          <w:rFonts w:ascii="Times New Roman" w:hAnsi="Times New Roman" w:cs="Times New Roman"/>
          <w:sz w:val="24"/>
          <w:szCs w:val="24"/>
        </w:rPr>
        <w:t>dual sovereignty” continues</w:t>
      </w:r>
      <w:r w:rsidR="002D1DAA" w:rsidRPr="006023BE">
        <w:rPr>
          <w:rFonts w:ascii="Times New Roman" w:hAnsi="Times New Roman" w:cs="Times New Roman"/>
          <w:sz w:val="24"/>
          <w:szCs w:val="24"/>
        </w:rPr>
        <w:t xml:space="preserve">.  </w:t>
      </w:r>
      <w:r w:rsidR="000707A7" w:rsidRPr="006023BE">
        <w:rPr>
          <w:rFonts w:ascii="Times New Roman" w:hAnsi="Times New Roman" w:cs="Times New Roman"/>
          <w:sz w:val="24"/>
          <w:szCs w:val="24"/>
        </w:rPr>
        <w:t xml:space="preserve">Within American federalism, we are used to </w:t>
      </w:r>
      <w:r w:rsidR="002D1DAA" w:rsidRPr="006023BE">
        <w:rPr>
          <w:rFonts w:ascii="Times New Roman" w:hAnsi="Times New Roman" w:cs="Times New Roman"/>
          <w:sz w:val="24"/>
          <w:szCs w:val="24"/>
        </w:rPr>
        <w:t>asking to what degree the City of New York in 1837 or the states of Georgia, Alabama, and Arizona in 201</w:t>
      </w:r>
      <w:r w:rsidR="00595CA6">
        <w:rPr>
          <w:rFonts w:ascii="Times New Roman" w:hAnsi="Times New Roman" w:cs="Times New Roman"/>
          <w:sz w:val="24"/>
          <w:szCs w:val="24"/>
        </w:rPr>
        <w:t>2</w:t>
      </w:r>
      <w:r w:rsidR="002D1DAA" w:rsidRPr="006023BE">
        <w:rPr>
          <w:rFonts w:ascii="Times New Roman" w:hAnsi="Times New Roman" w:cs="Times New Roman"/>
          <w:sz w:val="24"/>
          <w:szCs w:val="24"/>
        </w:rPr>
        <w:t xml:space="preserve"> can enforce their own policies on immigration, as against these policies being exclusively within the jurisdiction of the national government</w:t>
      </w:r>
      <w:r w:rsidR="00AE45D0" w:rsidRPr="006023BE">
        <w:rPr>
          <w:rFonts w:ascii="Times New Roman" w:hAnsi="Times New Roman" w:cs="Times New Roman"/>
          <w:sz w:val="24"/>
          <w:szCs w:val="24"/>
        </w:rPr>
        <w:t>.</w:t>
      </w:r>
      <w:r w:rsidR="00DE5167">
        <w:rPr>
          <w:rStyle w:val="FootnoteReference"/>
          <w:rFonts w:ascii="Times New Roman" w:hAnsi="Times New Roman" w:cs="Times New Roman"/>
          <w:sz w:val="24"/>
          <w:szCs w:val="24"/>
        </w:rPr>
        <w:footnoteReference w:id="32"/>
      </w:r>
      <w:r w:rsidR="00AE45D0" w:rsidRPr="006023BE">
        <w:rPr>
          <w:rFonts w:ascii="Times New Roman" w:hAnsi="Times New Roman" w:cs="Times New Roman"/>
          <w:sz w:val="24"/>
          <w:szCs w:val="24"/>
        </w:rPr>
        <w:t xml:space="preserve">  But we must also ask a</w:t>
      </w:r>
      <w:r w:rsidR="002D1DAA" w:rsidRPr="006023BE">
        <w:rPr>
          <w:rFonts w:ascii="Times New Roman" w:hAnsi="Times New Roman" w:cs="Times New Roman"/>
          <w:sz w:val="24"/>
          <w:szCs w:val="24"/>
        </w:rPr>
        <w:t xml:space="preserve">bout the potential—and often actual—tension between the sovereignty claimed by the state and that perceived to be commanded by God.  Recently the </w:t>
      </w:r>
      <w:r w:rsidR="002D1DAA" w:rsidRPr="006023BE">
        <w:rPr>
          <w:rFonts w:ascii="Times New Roman" w:hAnsi="Times New Roman" w:cs="Times New Roman"/>
          <w:i/>
          <w:sz w:val="24"/>
          <w:szCs w:val="24"/>
        </w:rPr>
        <w:t xml:space="preserve">New York Times </w:t>
      </w:r>
      <w:r w:rsidR="002D1DAA" w:rsidRPr="006023BE">
        <w:rPr>
          <w:rFonts w:ascii="Times New Roman" w:hAnsi="Times New Roman" w:cs="Times New Roman"/>
          <w:sz w:val="24"/>
          <w:szCs w:val="24"/>
        </w:rPr>
        <w:t>placed on its front page a story about a town clerk in upstate New York who refused to provide a marriage license to a lesbian couple</w:t>
      </w:r>
      <w:r w:rsidR="005007DE" w:rsidRPr="006023BE">
        <w:rPr>
          <w:rFonts w:ascii="Times New Roman" w:hAnsi="Times New Roman" w:cs="Times New Roman"/>
          <w:sz w:val="24"/>
          <w:szCs w:val="24"/>
        </w:rPr>
        <w:t>.</w:t>
      </w:r>
      <w:r w:rsidR="00DE5167">
        <w:rPr>
          <w:rStyle w:val="FootnoteReference"/>
          <w:rFonts w:ascii="Times New Roman" w:hAnsi="Times New Roman" w:cs="Times New Roman"/>
          <w:sz w:val="24"/>
          <w:szCs w:val="24"/>
        </w:rPr>
        <w:footnoteReference w:id="33"/>
      </w:r>
      <w:r w:rsidR="005007DE" w:rsidRPr="006023BE">
        <w:rPr>
          <w:rFonts w:ascii="Times New Roman" w:hAnsi="Times New Roman" w:cs="Times New Roman"/>
          <w:sz w:val="24"/>
          <w:szCs w:val="24"/>
        </w:rPr>
        <w:t xml:space="preserve">  </w:t>
      </w:r>
      <w:r w:rsidR="00EA4998" w:rsidRPr="006023BE">
        <w:rPr>
          <w:rFonts w:ascii="Times New Roman" w:hAnsi="Times New Roman" w:cs="Times New Roman"/>
          <w:sz w:val="24"/>
          <w:szCs w:val="24"/>
        </w:rPr>
        <w:t>“</w:t>
      </w:r>
      <w:r w:rsidR="002D1DAA" w:rsidRPr="006023BE">
        <w:rPr>
          <w:rFonts w:ascii="Times New Roman" w:eastAsia="Times New Roman" w:hAnsi="Times New Roman" w:cs="Times New Roman"/>
          <w:color w:val="000000"/>
          <w:sz w:val="24"/>
          <w:szCs w:val="24"/>
        </w:rPr>
        <w:t>God doesn’t want me to do this,</w:t>
      </w:r>
      <w:r w:rsidR="005007DE" w:rsidRPr="006023BE">
        <w:rPr>
          <w:rFonts w:ascii="Times New Roman" w:eastAsia="Times New Roman" w:hAnsi="Times New Roman" w:cs="Times New Roman"/>
          <w:color w:val="000000"/>
          <w:sz w:val="24"/>
          <w:szCs w:val="24"/>
        </w:rPr>
        <w:t>” she asserted, “</w:t>
      </w:r>
      <w:r w:rsidR="002D1DAA" w:rsidRPr="006023BE">
        <w:rPr>
          <w:rFonts w:ascii="Times New Roman" w:eastAsia="Times New Roman" w:hAnsi="Times New Roman" w:cs="Times New Roman"/>
          <w:color w:val="000000"/>
          <w:sz w:val="24"/>
          <w:szCs w:val="24"/>
        </w:rPr>
        <w:t>so I can’t do what God doesn’t want me to do, just like I can’t steal, or any of the other things that God doesn’t want me to do.”</w:t>
      </w:r>
      <w:r w:rsidR="00EA4998" w:rsidRPr="006023BE">
        <w:rPr>
          <w:rStyle w:val="FootnoteReference"/>
          <w:rFonts w:ascii="Times New Roman" w:eastAsia="Times New Roman" w:hAnsi="Times New Roman" w:cs="Times New Roman"/>
          <w:color w:val="000000"/>
          <w:sz w:val="24"/>
          <w:szCs w:val="24"/>
        </w:rPr>
        <w:footnoteReference w:id="34"/>
      </w:r>
      <w:r w:rsidR="002D1DAA" w:rsidRPr="006023BE">
        <w:rPr>
          <w:rFonts w:ascii="Times New Roman" w:eastAsia="Times New Roman" w:hAnsi="Times New Roman" w:cs="Times New Roman"/>
          <w:color w:val="000000"/>
          <w:sz w:val="24"/>
          <w:szCs w:val="24"/>
        </w:rPr>
        <w:t xml:space="preserve"> </w:t>
      </w:r>
      <w:r w:rsidR="00EA4998" w:rsidRPr="006023BE">
        <w:rPr>
          <w:rFonts w:ascii="Times New Roman" w:eastAsia="Times New Roman" w:hAnsi="Times New Roman" w:cs="Times New Roman"/>
          <w:color w:val="000000"/>
          <w:sz w:val="24"/>
          <w:szCs w:val="24"/>
        </w:rPr>
        <w:t xml:space="preserve"> How precisely ought one respond to such a claim?  Does one say that this is a misunderstanding of what God actually wants believers to do?  Given that the clerk in question is a “</w:t>
      </w:r>
      <w:r w:rsidR="00EA4998" w:rsidRPr="006023BE">
        <w:rPr>
          <w:rFonts w:ascii="Times New Roman" w:hAnsi="Times New Roman" w:cs="Times New Roman"/>
          <w:color w:val="000000"/>
          <w:sz w:val="24"/>
          <w:szCs w:val="24"/>
        </w:rPr>
        <w:t>self-described Bible-</w:t>
      </w:r>
      <w:r w:rsidR="00EA4998" w:rsidRPr="006023BE">
        <w:rPr>
          <w:rFonts w:ascii="Times New Roman" w:hAnsi="Times New Roman" w:cs="Times New Roman"/>
          <w:color w:val="000000"/>
          <w:sz w:val="24"/>
          <w:szCs w:val="24"/>
        </w:rPr>
        <w:lastRenderedPageBreak/>
        <w:t>believing Christian,” one might quote from Paul’s Letter to the Romans, Chapter 13:  “</w:t>
      </w:r>
      <w:r w:rsidR="00EA4998" w:rsidRPr="006023BE">
        <w:rPr>
          <w:rFonts w:ascii="Times New Roman" w:hAnsi="Times New Roman" w:cs="Times New Roman"/>
          <w:sz w:val="24"/>
          <w:szCs w:val="24"/>
        </w:rPr>
        <w:t>Let everyone be subject to the governing authorities, for there is no authority except that which God has established.</w:t>
      </w:r>
      <w:r w:rsidR="00DE5167">
        <w:rPr>
          <w:rStyle w:val="FootnoteReference"/>
          <w:rFonts w:ascii="Times New Roman" w:hAnsi="Times New Roman" w:cs="Times New Roman"/>
          <w:sz w:val="24"/>
          <w:szCs w:val="24"/>
        </w:rPr>
        <w:footnoteReference w:id="35"/>
      </w:r>
      <w:r w:rsidR="00EA4998" w:rsidRPr="006023BE">
        <w:rPr>
          <w:rFonts w:ascii="Times New Roman" w:hAnsi="Times New Roman" w:cs="Times New Roman"/>
          <w:sz w:val="24"/>
          <w:szCs w:val="24"/>
        </w:rPr>
        <w:t xml:space="preserve"> The authorities that exist have been established by God. Consequently, </w:t>
      </w:r>
      <w:r w:rsidR="00DE5167">
        <w:rPr>
          <w:rFonts w:ascii="Times New Roman" w:hAnsi="Times New Roman" w:cs="Times New Roman"/>
          <w:sz w:val="24"/>
          <w:szCs w:val="24"/>
        </w:rPr>
        <w:t>“</w:t>
      </w:r>
      <w:r w:rsidR="00EA4998" w:rsidRPr="006023BE">
        <w:rPr>
          <w:rFonts w:ascii="Times New Roman" w:hAnsi="Times New Roman" w:cs="Times New Roman"/>
          <w:sz w:val="24"/>
          <w:szCs w:val="24"/>
        </w:rPr>
        <w:t>whoever rebels against the authority is rebelling against what God has instituted, and those who do so will bring judgment on themselves.</w:t>
      </w:r>
      <w:r w:rsidR="00CE00B9" w:rsidRPr="006023BE">
        <w:rPr>
          <w:rFonts w:ascii="Times New Roman" w:hAnsi="Times New Roman" w:cs="Times New Roman"/>
          <w:sz w:val="24"/>
          <w:szCs w:val="24"/>
        </w:rPr>
        <w:t>”</w:t>
      </w:r>
      <w:r w:rsidR="00BA5556">
        <w:rPr>
          <w:rStyle w:val="FootnoteReference"/>
          <w:rFonts w:ascii="Times New Roman" w:hAnsi="Times New Roman" w:cs="Times New Roman"/>
          <w:sz w:val="24"/>
          <w:szCs w:val="24"/>
        </w:rPr>
        <w:footnoteReference w:id="36"/>
      </w:r>
      <w:r w:rsidR="00CE00B9" w:rsidRPr="006023BE">
        <w:rPr>
          <w:rFonts w:ascii="Times New Roman" w:hAnsi="Times New Roman" w:cs="Times New Roman"/>
          <w:sz w:val="24"/>
          <w:szCs w:val="24"/>
        </w:rPr>
        <w:t xml:space="preserve">  I suppose one might quibble about whether a low-level bureaucrat like the Town Clerk can claim to be one of the “governing authorities” or, instead, whether she is enjoined by Paul to accept her subordinate position in a distinct hierarchy whose basic rules are to be set by legislatures and governors, with constitutional questions presumptively to be settled by judicial authorities.  Within Judaism, perhaps one cites the principle </w:t>
      </w:r>
      <w:r w:rsidR="00CE00B9" w:rsidRPr="006023BE">
        <w:rPr>
          <w:rFonts w:ascii="Times New Roman" w:hAnsi="Times New Roman" w:cs="Times New Roman"/>
          <w:i/>
          <w:sz w:val="24"/>
          <w:szCs w:val="24"/>
        </w:rPr>
        <w:t>dina de-malkhuta dina—</w:t>
      </w:r>
      <w:r w:rsidR="00CE00B9" w:rsidRPr="006023BE">
        <w:rPr>
          <w:rFonts w:ascii="Times New Roman" w:hAnsi="Times New Roman" w:cs="Times New Roman"/>
          <w:sz w:val="24"/>
          <w:szCs w:val="24"/>
        </w:rPr>
        <w:t>the law of the land is binding, even if, arguably it violates religious norms</w:t>
      </w:r>
      <w:r w:rsidR="007215C3" w:rsidRPr="006023BE">
        <w:rPr>
          <w:rFonts w:ascii="Times New Roman" w:hAnsi="Times New Roman" w:cs="Times New Roman"/>
          <w:sz w:val="24"/>
          <w:szCs w:val="24"/>
        </w:rPr>
        <w:t xml:space="preserve"> short of renouncing God</w:t>
      </w:r>
      <w:r w:rsidR="00CE00B9" w:rsidRPr="006023BE">
        <w:rPr>
          <w:rFonts w:ascii="Times New Roman" w:hAnsi="Times New Roman" w:cs="Times New Roman"/>
          <w:sz w:val="24"/>
          <w:szCs w:val="24"/>
        </w:rPr>
        <w:t xml:space="preserve">.  </w:t>
      </w:r>
    </w:p>
    <w:p w14:paraId="29997FA5" w14:textId="77777777" w:rsidR="00A37CF7" w:rsidRPr="006023BE" w:rsidRDefault="00CE00B9" w:rsidP="00DC4CB9">
      <w:pPr>
        <w:spacing w:after="240" w:line="480" w:lineRule="auto"/>
        <w:rPr>
          <w:rFonts w:ascii="Times New Roman" w:hAnsi="Times New Roman" w:cs="Times New Roman"/>
          <w:sz w:val="24"/>
          <w:szCs w:val="24"/>
        </w:rPr>
      </w:pPr>
      <w:r w:rsidRPr="006023BE">
        <w:rPr>
          <w:rFonts w:ascii="Times New Roman" w:hAnsi="Times New Roman" w:cs="Times New Roman"/>
          <w:sz w:val="24"/>
          <w:szCs w:val="24"/>
        </w:rPr>
        <w:tab/>
        <w:t>Whatever else may explain suc</w:t>
      </w:r>
      <w:r w:rsidR="00DE5167">
        <w:rPr>
          <w:rFonts w:ascii="Times New Roman" w:hAnsi="Times New Roman" w:cs="Times New Roman"/>
          <w:sz w:val="24"/>
          <w:szCs w:val="24"/>
        </w:rPr>
        <w:t>h arguments, whether drawn from</w:t>
      </w:r>
      <w:r w:rsidRPr="006023BE">
        <w:rPr>
          <w:rFonts w:ascii="Times New Roman" w:hAnsi="Times New Roman" w:cs="Times New Roman"/>
          <w:sz w:val="24"/>
          <w:szCs w:val="24"/>
        </w:rPr>
        <w:t xml:space="preserve"> Paul or the Talmud, one might believe that it is certainly advisable, from a prudential basis, for members of religious </w:t>
      </w:r>
      <w:r w:rsidR="00A37CF7" w:rsidRPr="006023BE">
        <w:rPr>
          <w:rFonts w:ascii="Times New Roman" w:hAnsi="Times New Roman" w:cs="Times New Roman"/>
          <w:sz w:val="24"/>
          <w:szCs w:val="24"/>
        </w:rPr>
        <w:t xml:space="preserve">communities governed by political authorities who do not share their faith commitments to assure those authorities that they are not “sectarians” who will defy—or, even worse, seek to overthrow—the regime in power.  God may be sovereign, but, apparently, the sovereignty is shared with earthly political authorities who </w:t>
      </w:r>
      <w:r w:rsidR="005007DE" w:rsidRPr="006023BE">
        <w:rPr>
          <w:rFonts w:ascii="Times New Roman" w:hAnsi="Times New Roman" w:cs="Times New Roman"/>
          <w:sz w:val="24"/>
          <w:szCs w:val="24"/>
        </w:rPr>
        <w:t xml:space="preserve">are in no </w:t>
      </w:r>
      <w:r w:rsidR="00A37CF7" w:rsidRPr="006023BE">
        <w:rPr>
          <w:rFonts w:ascii="Times New Roman" w:hAnsi="Times New Roman" w:cs="Times New Roman"/>
          <w:sz w:val="24"/>
          <w:szCs w:val="24"/>
        </w:rPr>
        <w:t xml:space="preserve">way </w:t>
      </w:r>
      <w:r w:rsidR="005007DE" w:rsidRPr="006023BE">
        <w:rPr>
          <w:rFonts w:ascii="Times New Roman" w:hAnsi="Times New Roman" w:cs="Times New Roman"/>
          <w:sz w:val="24"/>
          <w:szCs w:val="24"/>
        </w:rPr>
        <w:t xml:space="preserve">willing to </w:t>
      </w:r>
      <w:r w:rsidR="00A37CF7" w:rsidRPr="006023BE">
        <w:rPr>
          <w:rFonts w:ascii="Times New Roman" w:hAnsi="Times New Roman" w:cs="Times New Roman"/>
          <w:sz w:val="24"/>
          <w:szCs w:val="24"/>
        </w:rPr>
        <w:t xml:space="preserve">recognize </w:t>
      </w:r>
      <w:r w:rsidR="005007DE" w:rsidRPr="006023BE">
        <w:rPr>
          <w:rFonts w:ascii="Times New Roman" w:hAnsi="Times New Roman" w:cs="Times New Roman"/>
          <w:sz w:val="24"/>
          <w:szCs w:val="24"/>
        </w:rPr>
        <w:t xml:space="preserve">a </w:t>
      </w:r>
      <w:r w:rsidR="00A37CF7" w:rsidRPr="006023BE">
        <w:rPr>
          <w:rFonts w:ascii="Times New Roman" w:hAnsi="Times New Roman" w:cs="Times New Roman"/>
          <w:sz w:val="24"/>
          <w:szCs w:val="24"/>
        </w:rPr>
        <w:t xml:space="preserve">Divine </w:t>
      </w:r>
      <w:r w:rsidR="005007DE" w:rsidRPr="006023BE">
        <w:rPr>
          <w:rFonts w:ascii="Times New Roman" w:hAnsi="Times New Roman" w:cs="Times New Roman"/>
          <w:sz w:val="24"/>
          <w:szCs w:val="24"/>
        </w:rPr>
        <w:t xml:space="preserve">competitor.  </w:t>
      </w:r>
      <w:r w:rsidR="00A37CF7" w:rsidRPr="006023BE">
        <w:rPr>
          <w:rFonts w:ascii="Times New Roman" w:hAnsi="Times New Roman" w:cs="Times New Roman"/>
          <w:sz w:val="24"/>
          <w:szCs w:val="24"/>
        </w:rPr>
        <w:t xml:space="preserve"> It would be dangerous to claim otherwise, at least in public.</w:t>
      </w:r>
    </w:p>
    <w:p w14:paraId="00C2AA92" w14:textId="77777777" w:rsidR="007546F6" w:rsidRPr="006023BE" w:rsidRDefault="00A37CF7" w:rsidP="00DC4CB9">
      <w:pPr>
        <w:spacing w:after="240" w:line="480" w:lineRule="auto"/>
        <w:rPr>
          <w:rFonts w:ascii="Times New Roman" w:hAnsi="Times New Roman" w:cs="Times New Roman"/>
          <w:sz w:val="24"/>
          <w:szCs w:val="24"/>
        </w:rPr>
      </w:pPr>
      <w:r w:rsidRPr="006023BE">
        <w:rPr>
          <w:rFonts w:ascii="Times New Roman" w:hAnsi="Times New Roman" w:cs="Times New Roman"/>
          <w:sz w:val="24"/>
          <w:szCs w:val="24"/>
        </w:rPr>
        <w:tab/>
        <w:t>But</w:t>
      </w:r>
      <w:r w:rsidR="00AE45D0" w:rsidRPr="006023BE">
        <w:rPr>
          <w:rFonts w:ascii="Times New Roman" w:hAnsi="Times New Roman" w:cs="Times New Roman"/>
          <w:sz w:val="24"/>
          <w:szCs w:val="24"/>
        </w:rPr>
        <w:t xml:space="preserve"> I take it that </w:t>
      </w:r>
      <w:r w:rsidRPr="006023BE">
        <w:rPr>
          <w:rFonts w:ascii="Times New Roman" w:hAnsi="Times New Roman" w:cs="Times New Roman"/>
          <w:sz w:val="24"/>
          <w:szCs w:val="24"/>
        </w:rPr>
        <w:t>all of us believe that there must be some limits to political authority</w:t>
      </w:r>
      <w:r w:rsidR="00AE45D0" w:rsidRPr="006023BE">
        <w:rPr>
          <w:rFonts w:ascii="Times New Roman" w:hAnsi="Times New Roman" w:cs="Times New Roman"/>
          <w:sz w:val="24"/>
          <w:szCs w:val="24"/>
        </w:rPr>
        <w:t>, even if we might disagree on the source of such limitations</w:t>
      </w:r>
      <w:r w:rsidR="005007DE" w:rsidRPr="006023BE">
        <w:rPr>
          <w:rFonts w:ascii="Times New Roman" w:hAnsi="Times New Roman" w:cs="Times New Roman"/>
          <w:sz w:val="24"/>
          <w:szCs w:val="24"/>
        </w:rPr>
        <w:t>.  If we are religious—or even secularists sympathetic to claims of religious “free exercise”</w:t>
      </w:r>
      <w:r w:rsidR="007215C3" w:rsidRPr="006023BE">
        <w:rPr>
          <w:rFonts w:ascii="Times New Roman" w:hAnsi="Times New Roman" w:cs="Times New Roman"/>
          <w:sz w:val="24"/>
          <w:szCs w:val="24"/>
        </w:rPr>
        <w:t>--</w:t>
      </w:r>
      <w:r w:rsidR="005007DE" w:rsidRPr="006023BE">
        <w:rPr>
          <w:rFonts w:ascii="Times New Roman" w:hAnsi="Times New Roman" w:cs="Times New Roman"/>
          <w:sz w:val="24"/>
          <w:szCs w:val="24"/>
        </w:rPr>
        <w:t xml:space="preserve">we will be reluctant to accept the </w:t>
      </w:r>
      <w:r w:rsidR="005007DE" w:rsidRPr="006023BE">
        <w:rPr>
          <w:rFonts w:ascii="Times New Roman" w:hAnsi="Times New Roman" w:cs="Times New Roman"/>
          <w:sz w:val="24"/>
          <w:szCs w:val="24"/>
        </w:rPr>
        <w:lastRenderedPageBreak/>
        <w:t xml:space="preserve">complete swallowing up of </w:t>
      </w:r>
      <w:r w:rsidRPr="006023BE">
        <w:rPr>
          <w:rFonts w:ascii="Times New Roman" w:hAnsi="Times New Roman" w:cs="Times New Roman"/>
          <w:sz w:val="24"/>
          <w:szCs w:val="24"/>
        </w:rPr>
        <w:t xml:space="preserve">Divine sovereignty in obeisance to earthly authority.  Within the American legal community, this issue has, for better and for worse, been most </w:t>
      </w:r>
      <w:r w:rsidR="005007DE" w:rsidRPr="006023BE">
        <w:rPr>
          <w:rFonts w:ascii="Times New Roman" w:hAnsi="Times New Roman" w:cs="Times New Roman"/>
          <w:sz w:val="24"/>
          <w:szCs w:val="24"/>
        </w:rPr>
        <w:t xml:space="preserve">especially </w:t>
      </w:r>
      <w:r w:rsidRPr="006023BE">
        <w:rPr>
          <w:rFonts w:ascii="Times New Roman" w:hAnsi="Times New Roman" w:cs="Times New Roman"/>
          <w:sz w:val="24"/>
          <w:szCs w:val="24"/>
        </w:rPr>
        <w:t>explored with regard to the nomination of Roman Catholics to the</w:t>
      </w:r>
      <w:r w:rsidR="007546F6" w:rsidRPr="006023BE">
        <w:rPr>
          <w:rFonts w:ascii="Times New Roman" w:hAnsi="Times New Roman" w:cs="Times New Roman"/>
          <w:sz w:val="24"/>
          <w:szCs w:val="24"/>
        </w:rPr>
        <w:t xml:space="preserve"> United States Supreme Court.  </w:t>
      </w:r>
    </w:p>
    <w:p w14:paraId="47165D68" w14:textId="77777777" w:rsidR="007546F6" w:rsidRPr="006023BE" w:rsidRDefault="007546F6" w:rsidP="00DC4CB9">
      <w:pPr>
        <w:spacing w:after="240" w:line="480" w:lineRule="auto"/>
        <w:rPr>
          <w:rFonts w:ascii="Times New Roman" w:hAnsi="Times New Roman" w:cs="Times New Roman"/>
          <w:sz w:val="24"/>
          <w:szCs w:val="24"/>
        </w:rPr>
      </w:pPr>
      <w:r w:rsidRPr="006023BE">
        <w:rPr>
          <w:rFonts w:ascii="Times New Roman" w:hAnsi="Times New Roman" w:cs="Times New Roman"/>
          <w:sz w:val="24"/>
          <w:szCs w:val="24"/>
        </w:rPr>
        <w:tab/>
        <w:t>Consider on the one hand the eloquent words of Columbia historian Istvan Deak, writing in 1989 of various response to “the Incomprehensible Holocaust”:</w:t>
      </w:r>
    </w:p>
    <w:p w14:paraId="400A4BBA" w14:textId="77777777" w:rsidR="007546F6" w:rsidRPr="006023BE" w:rsidRDefault="007546F6" w:rsidP="007546F6">
      <w:pPr>
        <w:spacing w:after="240" w:line="480" w:lineRule="auto"/>
        <w:ind w:left="720"/>
        <w:rPr>
          <w:rFonts w:ascii="Times New Roman" w:hAnsi="Times New Roman" w:cs="Times New Roman"/>
          <w:sz w:val="24"/>
          <w:szCs w:val="24"/>
        </w:rPr>
      </w:pPr>
      <w:r w:rsidRPr="006023BE">
        <w:rPr>
          <w:rFonts w:ascii="Times New Roman" w:hAnsi="Times New Roman" w:cs="Times New Roman"/>
          <w:sz w:val="24"/>
          <w:szCs w:val="24"/>
        </w:rPr>
        <w:t>Roman Catholicism represents a beautiful anachronism in our age of crazed nationalism; virtually every devout Catholic preserves in his heart some remnants of his denomination’s transnational loyalty and the duty of Catholics to defy immoral laws.</w:t>
      </w:r>
      <w:r w:rsidR="007215C3" w:rsidRPr="006023BE">
        <w:rPr>
          <w:rStyle w:val="FootnoteReference"/>
          <w:rFonts w:ascii="Times New Roman" w:hAnsi="Times New Roman" w:cs="Times New Roman"/>
          <w:sz w:val="24"/>
          <w:szCs w:val="24"/>
        </w:rPr>
        <w:footnoteReference w:id="37"/>
      </w:r>
    </w:p>
    <w:p w14:paraId="660807EB" w14:textId="77777777" w:rsidR="00A37CF7" w:rsidRPr="006023BE" w:rsidRDefault="007546F6" w:rsidP="007546F6">
      <w:pPr>
        <w:spacing w:after="240" w:line="480" w:lineRule="auto"/>
        <w:rPr>
          <w:rFonts w:ascii="Times New Roman" w:hAnsi="Times New Roman" w:cs="Times New Roman"/>
          <w:sz w:val="24"/>
          <w:szCs w:val="24"/>
        </w:rPr>
      </w:pPr>
      <w:r w:rsidRPr="006023BE">
        <w:rPr>
          <w:rFonts w:ascii="Times New Roman" w:hAnsi="Times New Roman" w:cs="Times New Roman"/>
          <w:sz w:val="24"/>
          <w:szCs w:val="24"/>
        </w:rPr>
        <w:t xml:space="preserve">There is little in this comment, especially if we assume it to be true, that should give comfort not only to “crazed nationalists,” but even to more ordinary senators concerned that a judge will adopt </w:t>
      </w:r>
      <w:r w:rsidR="00DC2807" w:rsidRPr="006023BE">
        <w:rPr>
          <w:rFonts w:ascii="Times New Roman" w:hAnsi="Times New Roman" w:cs="Times New Roman"/>
          <w:sz w:val="24"/>
          <w:szCs w:val="24"/>
        </w:rPr>
        <w:t xml:space="preserve">Marshall’s or </w:t>
      </w:r>
      <w:r w:rsidRPr="006023BE">
        <w:rPr>
          <w:rFonts w:ascii="Times New Roman" w:hAnsi="Times New Roman" w:cs="Times New Roman"/>
          <w:sz w:val="24"/>
          <w:szCs w:val="24"/>
        </w:rPr>
        <w:t>Taney’s view of the pr</w:t>
      </w:r>
      <w:r w:rsidR="00DC2807" w:rsidRPr="006023BE">
        <w:rPr>
          <w:rFonts w:ascii="Times New Roman" w:hAnsi="Times New Roman" w:cs="Times New Roman"/>
          <w:sz w:val="24"/>
          <w:szCs w:val="24"/>
        </w:rPr>
        <w:t xml:space="preserve">iority for the properly behaving judge of “law” over “morality.”  </w:t>
      </w:r>
      <w:r w:rsidRPr="006023BE">
        <w:rPr>
          <w:rFonts w:ascii="Times New Roman" w:hAnsi="Times New Roman" w:cs="Times New Roman"/>
          <w:sz w:val="24"/>
          <w:szCs w:val="24"/>
        </w:rPr>
        <w:t xml:space="preserve">  </w:t>
      </w:r>
      <w:r w:rsidR="00A37CF7" w:rsidRPr="006023BE">
        <w:rPr>
          <w:rFonts w:ascii="Times New Roman" w:hAnsi="Times New Roman" w:cs="Times New Roman"/>
          <w:sz w:val="24"/>
          <w:szCs w:val="24"/>
        </w:rPr>
        <w:t xml:space="preserve">  </w:t>
      </w:r>
    </w:p>
    <w:p w14:paraId="5D24AB0B" w14:textId="4B5B8E78" w:rsidR="007546F6" w:rsidRPr="006023BE" w:rsidRDefault="007546F6" w:rsidP="009105C0">
      <w:pPr>
        <w:spacing w:after="240" w:line="480" w:lineRule="auto"/>
        <w:rPr>
          <w:rFonts w:ascii="Times New Roman" w:hAnsi="Times New Roman" w:cs="Times New Roman"/>
          <w:sz w:val="24"/>
          <w:szCs w:val="24"/>
        </w:rPr>
      </w:pPr>
      <w:r w:rsidRPr="006023BE">
        <w:rPr>
          <w:rFonts w:ascii="Times New Roman" w:hAnsi="Times New Roman" w:cs="Times New Roman"/>
          <w:sz w:val="24"/>
          <w:szCs w:val="24"/>
        </w:rPr>
        <w:tab/>
        <w:t>So what do we make of an exchange in 1957 during the Senate Judiciary Committee hearings involving the nomination of William J. Brennan, a Catholic from New Jersey, to the Supreme Court</w:t>
      </w:r>
      <w:r w:rsidR="00AE45D0" w:rsidRPr="006023BE">
        <w:rPr>
          <w:rFonts w:ascii="Times New Roman" w:hAnsi="Times New Roman" w:cs="Times New Roman"/>
          <w:sz w:val="24"/>
          <w:szCs w:val="24"/>
        </w:rPr>
        <w:t>?</w:t>
      </w:r>
      <w:r w:rsidRPr="006023BE">
        <w:rPr>
          <w:rFonts w:ascii="Times New Roman" w:hAnsi="Times New Roman" w:cs="Times New Roman"/>
          <w:sz w:val="24"/>
          <w:szCs w:val="24"/>
        </w:rPr>
        <w:t xml:space="preserve"> </w:t>
      </w:r>
      <w:r w:rsidR="00DE5167">
        <w:rPr>
          <w:rStyle w:val="FootnoteReference"/>
          <w:rFonts w:ascii="Times New Roman" w:hAnsi="Times New Roman" w:cs="Times New Roman"/>
          <w:sz w:val="24"/>
          <w:szCs w:val="24"/>
        </w:rPr>
        <w:footnoteReference w:id="38"/>
      </w:r>
      <w:r w:rsidRPr="006023BE">
        <w:rPr>
          <w:rFonts w:ascii="Times New Roman" w:hAnsi="Times New Roman" w:cs="Times New Roman"/>
          <w:sz w:val="24"/>
          <w:szCs w:val="24"/>
        </w:rPr>
        <w:t xml:space="preserve"> (For what it is worth, there is no doubt that Brennan was picked by Eisenhower, just before the 1956 elections, </w:t>
      </w:r>
      <w:r w:rsidRPr="006023BE">
        <w:rPr>
          <w:rFonts w:ascii="Times New Roman" w:hAnsi="Times New Roman" w:cs="Times New Roman"/>
          <w:i/>
          <w:sz w:val="24"/>
          <w:szCs w:val="24"/>
        </w:rPr>
        <w:t xml:space="preserve">because </w:t>
      </w:r>
      <w:r w:rsidRPr="006023BE">
        <w:rPr>
          <w:rFonts w:ascii="Times New Roman" w:hAnsi="Times New Roman" w:cs="Times New Roman"/>
          <w:sz w:val="24"/>
          <w:szCs w:val="24"/>
        </w:rPr>
        <w:t xml:space="preserve">he was a Northeastern Catholic and would therefore presumably appeal to potentially wavering Catholic voters Ike was worried about losing to Adlai Stevenson.)  In any event, a Catholic senator from Wyoming, Joseph O’Mahoney, asked, at the request of members of the </w:t>
      </w:r>
      <w:r w:rsidR="00AE45D0" w:rsidRPr="006023BE">
        <w:rPr>
          <w:rFonts w:ascii="Times New Roman" w:hAnsi="Times New Roman" w:cs="Times New Roman"/>
          <w:sz w:val="24"/>
          <w:szCs w:val="24"/>
        </w:rPr>
        <w:t xml:space="preserve">basically anti-Catholic </w:t>
      </w:r>
      <w:r w:rsidRPr="006023BE">
        <w:rPr>
          <w:rFonts w:ascii="Times New Roman" w:hAnsi="Times New Roman" w:cs="Times New Roman"/>
          <w:sz w:val="24"/>
          <w:szCs w:val="24"/>
        </w:rPr>
        <w:t xml:space="preserve">National Liberal </w:t>
      </w:r>
      <w:r w:rsidRPr="006023BE">
        <w:rPr>
          <w:rFonts w:ascii="Times New Roman" w:hAnsi="Times New Roman" w:cs="Times New Roman"/>
          <w:sz w:val="24"/>
          <w:szCs w:val="24"/>
        </w:rPr>
        <w:lastRenderedPageBreak/>
        <w:t>League, whether Brennan  would “be able to follow the requirements of your oath [to the Constitution] or would you be bound by your religious obligations?”  Brennan answered as follows:</w:t>
      </w:r>
      <w:r w:rsidR="009105C0" w:rsidRPr="006023BE">
        <w:rPr>
          <w:rFonts w:ascii="Times New Roman" w:hAnsi="Times New Roman" w:cs="Times New Roman"/>
          <w:sz w:val="24"/>
          <w:szCs w:val="24"/>
        </w:rPr>
        <w:t xml:space="preserve">  “[W]hat shall control me is the oath that I took to support the Constitution and the laws of the United States and so act upon the cases that come before me for decision that it is that oath and that alone which governs.”  Some thirty years later, during an interview with a former law clerk, he was asked if he “ever had difficulty dealing with [his] own religious beliefs in terms of cases.”  Brennan’s response was that he had, in 1956, “settled in my mind that I had an obligation under the Constitution which could not be influenced by any of my religious principles.</w:t>
      </w:r>
      <w:r w:rsidR="00DE5167">
        <w:rPr>
          <w:rFonts w:ascii="Times New Roman" w:hAnsi="Times New Roman" w:cs="Times New Roman"/>
          <w:sz w:val="24"/>
          <w:szCs w:val="24"/>
        </w:rPr>
        <w:t>”</w:t>
      </w:r>
      <w:r w:rsidR="009105C0" w:rsidRPr="006023BE">
        <w:rPr>
          <w:rFonts w:ascii="Times New Roman" w:hAnsi="Times New Roman" w:cs="Times New Roman"/>
          <w:sz w:val="24"/>
          <w:szCs w:val="24"/>
        </w:rPr>
        <w:t xml:space="preserve">  Although Brennan would “as a private citizen” do “what a Roman Catholic does . . . to the extent that that conflicts with what I think the Constitution means or requires, then my religious beliefs have to give way.”</w:t>
      </w:r>
    </w:p>
    <w:p w14:paraId="53FC61C3" w14:textId="4DB653E2" w:rsidR="00D519D9" w:rsidRDefault="009105C0" w:rsidP="00DC4CB9">
      <w:pPr>
        <w:spacing w:after="240" w:line="480" w:lineRule="auto"/>
        <w:rPr>
          <w:rFonts w:ascii="Times New Roman" w:hAnsi="Times New Roman" w:cs="Times New Roman"/>
          <w:sz w:val="24"/>
          <w:szCs w:val="24"/>
        </w:rPr>
      </w:pPr>
      <w:r w:rsidRPr="006023BE">
        <w:rPr>
          <w:rFonts w:ascii="Times New Roman" w:hAnsi="Times New Roman" w:cs="Times New Roman"/>
          <w:sz w:val="24"/>
          <w:szCs w:val="24"/>
        </w:rPr>
        <w:tab/>
        <w:t>What do we think of Brennan’s response?  Are we at all tempted to share Thomas Shaffer’s view that Brennan is an “idolater</w:t>
      </w:r>
      <w:r w:rsidR="00AE45D0" w:rsidRPr="006023BE">
        <w:rPr>
          <w:rFonts w:ascii="Times New Roman" w:hAnsi="Times New Roman" w:cs="Times New Roman"/>
          <w:sz w:val="24"/>
          <w:szCs w:val="24"/>
        </w:rPr>
        <w:t>,” substituting worship of the State—or its Constitution—for the proper worship of God</w:t>
      </w:r>
      <w:r w:rsidRPr="006023BE">
        <w:rPr>
          <w:rFonts w:ascii="Times New Roman" w:hAnsi="Times New Roman" w:cs="Times New Roman"/>
          <w:sz w:val="24"/>
          <w:szCs w:val="24"/>
        </w:rPr>
        <w:t>?</w:t>
      </w:r>
      <w:r w:rsidR="00DC2807" w:rsidRPr="006023BE">
        <w:rPr>
          <w:rStyle w:val="FootnoteReference"/>
          <w:rFonts w:ascii="Times New Roman" w:hAnsi="Times New Roman" w:cs="Times New Roman"/>
          <w:sz w:val="24"/>
          <w:szCs w:val="24"/>
        </w:rPr>
        <w:footnoteReference w:id="39"/>
      </w:r>
      <w:r w:rsidRPr="006023BE">
        <w:rPr>
          <w:rFonts w:ascii="Times New Roman" w:hAnsi="Times New Roman" w:cs="Times New Roman"/>
          <w:sz w:val="24"/>
          <w:szCs w:val="24"/>
        </w:rPr>
        <w:t xml:space="preserve">  </w:t>
      </w:r>
      <w:r w:rsidR="00AE45D0" w:rsidRPr="006023BE">
        <w:rPr>
          <w:rFonts w:ascii="Times New Roman" w:hAnsi="Times New Roman" w:cs="Times New Roman"/>
          <w:sz w:val="24"/>
          <w:szCs w:val="24"/>
        </w:rPr>
        <w:t>Contrast Brennan’s response with comments made by Justice Scalia in a speech</w:t>
      </w:r>
      <w:r w:rsidR="001F476F" w:rsidRPr="006023BE">
        <w:rPr>
          <w:rFonts w:ascii="Times New Roman" w:hAnsi="Times New Roman" w:cs="Times New Roman"/>
          <w:sz w:val="24"/>
          <w:szCs w:val="24"/>
        </w:rPr>
        <w:t>, tellingly titled “God’s Justice and Ours,”</w:t>
      </w:r>
      <w:r w:rsidR="00DC2807" w:rsidRPr="006023BE">
        <w:rPr>
          <w:rStyle w:val="FootnoteReference"/>
          <w:rFonts w:ascii="Times New Roman" w:hAnsi="Times New Roman" w:cs="Times New Roman"/>
          <w:sz w:val="24"/>
          <w:szCs w:val="24"/>
        </w:rPr>
        <w:footnoteReference w:id="40"/>
      </w:r>
      <w:r w:rsidR="001F476F" w:rsidRPr="006023BE">
        <w:rPr>
          <w:rFonts w:ascii="Times New Roman" w:hAnsi="Times New Roman" w:cs="Times New Roman"/>
          <w:sz w:val="24"/>
          <w:szCs w:val="24"/>
        </w:rPr>
        <w:t xml:space="preserve"> </w:t>
      </w:r>
      <w:r w:rsidR="00AE45D0" w:rsidRPr="006023BE">
        <w:rPr>
          <w:rFonts w:ascii="Times New Roman" w:hAnsi="Times New Roman" w:cs="Times New Roman"/>
          <w:sz w:val="24"/>
          <w:szCs w:val="24"/>
        </w:rPr>
        <w:t>about his view of the relationship between his Catholicism and his conception of judging, particularly with regard to the death penalty.  Scalia agrees with Justice Blackmun that Supreme Court justices are part of the “machinery of death</w:t>
      </w:r>
      <w:r w:rsidR="001F476F" w:rsidRPr="006023BE">
        <w:rPr>
          <w:rFonts w:ascii="Times New Roman" w:hAnsi="Times New Roman" w:cs="Times New Roman"/>
          <w:sz w:val="24"/>
          <w:szCs w:val="24"/>
        </w:rPr>
        <w:t>.</w:t>
      </w:r>
      <w:r w:rsidR="00AE45D0" w:rsidRPr="006023BE">
        <w:rPr>
          <w:rFonts w:ascii="Times New Roman" w:hAnsi="Times New Roman" w:cs="Times New Roman"/>
          <w:sz w:val="24"/>
          <w:szCs w:val="24"/>
        </w:rPr>
        <w:t>”</w:t>
      </w:r>
      <w:r w:rsidR="00DE5167">
        <w:rPr>
          <w:rStyle w:val="FootnoteReference"/>
          <w:rFonts w:ascii="Times New Roman" w:hAnsi="Times New Roman" w:cs="Times New Roman"/>
          <w:sz w:val="24"/>
          <w:szCs w:val="24"/>
        </w:rPr>
        <w:footnoteReference w:id="41"/>
      </w:r>
      <w:r w:rsidR="00AE45D0" w:rsidRPr="006023BE">
        <w:rPr>
          <w:rFonts w:ascii="Times New Roman" w:hAnsi="Times New Roman" w:cs="Times New Roman"/>
          <w:sz w:val="24"/>
          <w:szCs w:val="24"/>
        </w:rPr>
        <w:t xml:space="preserve"> </w:t>
      </w:r>
      <w:r w:rsidR="001F476F" w:rsidRPr="006023BE">
        <w:rPr>
          <w:rFonts w:ascii="Times New Roman" w:hAnsi="Times New Roman" w:cs="Times New Roman"/>
          <w:sz w:val="24"/>
          <w:szCs w:val="24"/>
        </w:rPr>
        <w:t xml:space="preserve">But, unlike Blackmun, Scalia believes that the Constitution clearly countenances capital punishment.  </w:t>
      </w:r>
      <w:r w:rsidR="00AE45D0" w:rsidRPr="006023BE">
        <w:rPr>
          <w:rFonts w:ascii="Times New Roman" w:hAnsi="Times New Roman" w:cs="Times New Roman"/>
          <w:sz w:val="24"/>
          <w:szCs w:val="24"/>
        </w:rPr>
        <w:t xml:space="preserve">Any </w:t>
      </w:r>
      <w:r w:rsidR="009B2952" w:rsidRPr="006023BE">
        <w:rPr>
          <w:rFonts w:ascii="Times New Roman" w:hAnsi="Times New Roman" w:cs="Times New Roman"/>
          <w:sz w:val="24"/>
          <w:szCs w:val="24"/>
        </w:rPr>
        <w:t>declaration</w:t>
      </w:r>
      <w:r w:rsidR="001F476F" w:rsidRPr="006023BE">
        <w:rPr>
          <w:rFonts w:ascii="Times New Roman" w:hAnsi="Times New Roman" w:cs="Times New Roman"/>
          <w:sz w:val="24"/>
          <w:szCs w:val="24"/>
        </w:rPr>
        <w:t xml:space="preserve"> </w:t>
      </w:r>
      <w:r w:rsidR="009B2952" w:rsidRPr="006023BE">
        <w:rPr>
          <w:rFonts w:ascii="Times New Roman" w:hAnsi="Times New Roman" w:cs="Times New Roman"/>
          <w:sz w:val="24"/>
          <w:szCs w:val="24"/>
        </w:rPr>
        <w:t xml:space="preserve">to the contrary would be unfaithful to the </w:t>
      </w:r>
      <w:r w:rsidR="009B2952" w:rsidRPr="006023BE">
        <w:rPr>
          <w:rFonts w:ascii="Times New Roman" w:hAnsi="Times New Roman" w:cs="Times New Roman"/>
          <w:sz w:val="24"/>
          <w:szCs w:val="24"/>
        </w:rPr>
        <w:lastRenderedPageBreak/>
        <w:t xml:space="preserve">Constitution he is pledged to interpret faithfully.  </w:t>
      </w:r>
      <w:r w:rsidR="001F476F" w:rsidRPr="006023BE">
        <w:rPr>
          <w:rFonts w:ascii="Times New Roman" w:hAnsi="Times New Roman" w:cs="Times New Roman"/>
          <w:sz w:val="24"/>
          <w:szCs w:val="24"/>
        </w:rPr>
        <w:t xml:space="preserve">Thus, Scalia has written, </w:t>
      </w:r>
      <w:r w:rsidR="00AE45D0" w:rsidRPr="006023BE">
        <w:rPr>
          <w:rFonts w:ascii="Times New Roman" w:hAnsi="Times New Roman" w:cs="Times New Roman"/>
          <w:sz w:val="24"/>
          <w:szCs w:val="24"/>
        </w:rPr>
        <w:t>“It is a matter of great consequence to me</w:t>
      </w:r>
      <w:r w:rsidR="001F476F" w:rsidRPr="006023BE">
        <w:rPr>
          <w:rFonts w:ascii="Times New Roman" w:hAnsi="Times New Roman" w:cs="Times New Roman"/>
          <w:sz w:val="24"/>
          <w:szCs w:val="24"/>
        </w:rPr>
        <w:t xml:space="preserve"> </w:t>
      </w:r>
      <w:r w:rsidR="00AE45D0" w:rsidRPr="006023BE">
        <w:rPr>
          <w:rFonts w:ascii="Times New Roman" w:hAnsi="Times New Roman" w:cs="Times New Roman"/>
          <w:sz w:val="24"/>
          <w:szCs w:val="24"/>
        </w:rPr>
        <w:t>whether the death penalty is morally acceptable.  As a Roman Catholic—and being unable to jump out of skin</w:t>
      </w:r>
      <w:r w:rsidR="001F476F" w:rsidRPr="006023BE">
        <w:rPr>
          <w:rFonts w:ascii="Times New Roman" w:hAnsi="Times New Roman" w:cs="Times New Roman"/>
          <w:sz w:val="24"/>
          <w:szCs w:val="24"/>
        </w:rPr>
        <w:t xml:space="preserve">—I cannot discuss that issue without reference to Christian tradition and the Church’s Magisterium.”  As it happens, Scalia asserts that the Church’s general opposition to the death penalty has not become “binding” on the faithful, who are therefore permitted to disagree, as Scalia clearly does.   </w:t>
      </w:r>
      <w:r w:rsidR="009B2952" w:rsidRPr="006023BE">
        <w:rPr>
          <w:rFonts w:ascii="Times New Roman" w:hAnsi="Times New Roman" w:cs="Times New Roman"/>
          <w:sz w:val="24"/>
          <w:szCs w:val="24"/>
        </w:rPr>
        <w:t>If</w:t>
      </w:r>
      <w:r w:rsidR="001F476F" w:rsidRPr="006023BE">
        <w:rPr>
          <w:rFonts w:ascii="Times New Roman" w:hAnsi="Times New Roman" w:cs="Times New Roman"/>
          <w:sz w:val="24"/>
          <w:szCs w:val="24"/>
        </w:rPr>
        <w:t xml:space="preserve">, on the other hand, </w:t>
      </w:r>
      <w:r w:rsidR="009B2952" w:rsidRPr="006023BE">
        <w:rPr>
          <w:rFonts w:ascii="Times New Roman" w:hAnsi="Times New Roman" w:cs="Times New Roman"/>
          <w:sz w:val="24"/>
          <w:szCs w:val="24"/>
        </w:rPr>
        <w:t xml:space="preserve">the Church </w:t>
      </w:r>
      <w:r w:rsidR="00FB2104" w:rsidRPr="006023BE">
        <w:rPr>
          <w:rFonts w:ascii="Times New Roman" w:hAnsi="Times New Roman" w:cs="Times New Roman"/>
          <w:sz w:val="24"/>
          <w:szCs w:val="24"/>
        </w:rPr>
        <w:t xml:space="preserve">defined </w:t>
      </w:r>
      <w:r w:rsidR="001F476F" w:rsidRPr="006023BE">
        <w:rPr>
          <w:rFonts w:ascii="Times New Roman" w:hAnsi="Times New Roman" w:cs="Times New Roman"/>
          <w:sz w:val="24"/>
          <w:szCs w:val="24"/>
        </w:rPr>
        <w:t xml:space="preserve">opposition as a constitutive belief of Catholics, </w:t>
      </w:r>
      <w:r w:rsidR="00FB2104" w:rsidRPr="006023BE">
        <w:rPr>
          <w:rFonts w:ascii="Times New Roman" w:hAnsi="Times New Roman" w:cs="Times New Roman"/>
          <w:sz w:val="24"/>
          <w:szCs w:val="24"/>
        </w:rPr>
        <w:t>then he would</w:t>
      </w:r>
      <w:r w:rsidR="001F476F" w:rsidRPr="006023BE">
        <w:rPr>
          <w:rFonts w:ascii="Times New Roman" w:hAnsi="Times New Roman" w:cs="Times New Roman"/>
          <w:sz w:val="24"/>
          <w:szCs w:val="24"/>
        </w:rPr>
        <w:t xml:space="preserve"> without hesitation</w:t>
      </w:r>
      <w:r w:rsidR="00FB2104" w:rsidRPr="006023BE">
        <w:rPr>
          <w:rFonts w:ascii="Times New Roman" w:hAnsi="Times New Roman" w:cs="Times New Roman"/>
          <w:i/>
          <w:sz w:val="24"/>
          <w:szCs w:val="24"/>
        </w:rPr>
        <w:t xml:space="preserve"> </w:t>
      </w:r>
      <w:r w:rsidR="00FB2104" w:rsidRPr="006023BE">
        <w:rPr>
          <w:rFonts w:ascii="Times New Roman" w:hAnsi="Times New Roman" w:cs="Times New Roman"/>
          <w:sz w:val="24"/>
          <w:szCs w:val="24"/>
        </w:rPr>
        <w:t>remain faithful to the Church, which speaks with distinctly higher authority than does a Constitution that can claim only the backing of “We the People” as its foundation.</w:t>
      </w:r>
      <w:r w:rsidRPr="006023BE">
        <w:rPr>
          <w:rFonts w:ascii="Times New Roman" w:hAnsi="Times New Roman" w:cs="Times New Roman"/>
          <w:sz w:val="24"/>
          <w:szCs w:val="24"/>
        </w:rPr>
        <w:t xml:space="preserve">  </w:t>
      </w:r>
      <w:r w:rsidR="001F476F" w:rsidRPr="006023BE">
        <w:rPr>
          <w:rFonts w:ascii="Times New Roman" w:hAnsi="Times New Roman" w:cs="Times New Roman"/>
          <w:sz w:val="24"/>
          <w:szCs w:val="24"/>
        </w:rPr>
        <w:t xml:space="preserve">Since he would not violate his oath to the Constitution by lying as to what he think it permits, he would feel forced to resign in order to avoid collaboration with what the Church would have defined as sin.  </w:t>
      </w:r>
    </w:p>
    <w:p w14:paraId="63A6F79F" w14:textId="5C8FEFFE" w:rsidR="00FB2104" w:rsidRPr="006023BE" w:rsidRDefault="001F476F" w:rsidP="00A03E25">
      <w:pPr>
        <w:spacing w:after="240" w:line="480" w:lineRule="auto"/>
        <w:ind w:firstLine="720"/>
        <w:rPr>
          <w:rFonts w:ascii="Times New Roman" w:hAnsi="Times New Roman" w:cs="Times New Roman"/>
          <w:sz w:val="24"/>
          <w:szCs w:val="24"/>
        </w:rPr>
      </w:pPr>
      <w:r w:rsidRPr="006023BE">
        <w:rPr>
          <w:rFonts w:ascii="Times New Roman" w:hAnsi="Times New Roman" w:cs="Times New Roman"/>
          <w:sz w:val="24"/>
          <w:szCs w:val="24"/>
        </w:rPr>
        <w:t>For his pains, Justice Scalia was denounced by Princeton historian Sean Wilentz</w:t>
      </w:r>
      <w:r w:rsidR="00A03E25" w:rsidRPr="006023BE">
        <w:rPr>
          <w:rFonts w:ascii="Times New Roman" w:hAnsi="Times New Roman" w:cs="Times New Roman"/>
          <w:sz w:val="24"/>
          <w:szCs w:val="24"/>
        </w:rPr>
        <w:t>.  Scalia had criticized the “tendency of democracy to obscure the divine authority behind government.”  Wilentz responded that Scalia’s view has “no appreciable place in our constitutional history because the framers rejected it. . . .  They had an idea that sovereignty rested in a free people….”</w:t>
      </w:r>
      <w:r w:rsidR="00DC2807" w:rsidRPr="006023BE">
        <w:rPr>
          <w:rStyle w:val="FootnoteReference"/>
          <w:rFonts w:ascii="Times New Roman" w:hAnsi="Times New Roman" w:cs="Times New Roman"/>
          <w:sz w:val="24"/>
          <w:szCs w:val="24"/>
        </w:rPr>
        <w:footnoteReference w:id="42"/>
      </w:r>
      <w:r w:rsidR="00A03E25" w:rsidRPr="006023BE">
        <w:rPr>
          <w:rFonts w:ascii="Times New Roman" w:hAnsi="Times New Roman" w:cs="Times New Roman"/>
          <w:sz w:val="24"/>
          <w:szCs w:val="24"/>
        </w:rPr>
        <w:t xml:space="preserve">  </w:t>
      </w:r>
      <w:r w:rsidR="009105C0" w:rsidRPr="006023BE">
        <w:rPr>
          <w:rFonts w:ascii="Times New Roman" w:hAnsi="Times New Roman" w:cs="Times New Roman"/>
          <w:sz w:val="24"/>
          <w:szCs w:val="24"/>
        </w:rPr>
        <w:t>I presume that I am not alone in much preferring Justice Brennan to Justice Scalia as an interpreter of the United States Constitution, but does that preference extend to the ways that the two justices confronted the interplay of their rel</w:t>
      </w:r>
      <w:r w:rsidR="00A03E25" w:rsidRPr="006023BE">
        <w:rPr>
          <w:rFonts w:ascii="Times New Roman" w:hAnsi="Times New Roman" w:cs="Times New Roman"/>
          <w:sz w:val="24"/>
          <w:szCs w:val="24"/>
        </w:rPr>
        <w:t xml:space="preserve">igious and secular commitments?  Note, incidentally, that Justice Scalia in no way asserted that he would be licensed to enforce the views of the Catholic Church if in conflict with the Constitution.  Instead, he said that he would be forced to leave the bench should such a conflict present itself.  Should he be condemned or </w:t>
      </w:r>
      <w:r w:rsidR="00A03E25" w:rsidRPr="006023BE">
        <w:rPr>
          <w:rFonts w:ascii="Times New Roman" w:hAnsi="Times New Roman" w:cs="Times New Roman"/>
          <w:sz w:val="24"/>
          <w:szCs w:val="24"/>
        </w:rPr>
        <w:lastRenderedPageBreak/>
        <w:t>admired for acknowledging the ultimate sovereignty of the Church, whose self-characterization is that it is the “rock” personally chosen by Jesus to instantiate Divine teachings?</w:t>
      </w:r>
      <w:r w:rsidR="009105C0" w:rsidRPr="006023BE">
        <w:rPr>
          <w:rFonts w:ascii="Times New Roman" w:hAnsi="Times New Roman" w:cs="Times New Roman"/>
          <w:sz w:val="24"/>
          <w:szCs w:val="24"/>
        </w:rPr>
        <w:t xml:space="preserve"> </w:t>
      </w:r>
      <w:r w:rsidR="00FB2104" w:rsidRPr="006023BE">
        <w:rPr>
          <w:rFonts w:ascii="Times New Roman" w:hAnsi="Times New Roman" w:cs="Times New Roman"/>
          <w:sz w:val="24"/>
          <w:szCs w:val="24"/>
        </w:rPr>
        <w:t xml:space="preserve">   </w:t>
      </w:r>
    </w:p>
    <w:p w14:paraId="177680CE" w14:textId="77777777" w:rsidR="00FB2104" w:rsidRPr="006023BE" w:rsidRDefault="00FB2104" w:rsidP="00DC4CB9">
      <w:pPr>
        <w:spacing w:after="240" w:line="480" w:lineRule="auto"/>
        <w:ind w:firstLine="720"/>
        <w:rPr>
          <w:rFonts w:ascii="Times New Roman" w:hAnsi="Times New Roman" w:cs="Times New Roman"/>
          <w:sz w:val="24"/>
          <w:szCs w:val="24"/>
        </w:rPr>
      </w:pPr>
      <w:r w:rsidRPr="006023BE">
        <w:rPr>
          <w:rFonts w:ascii="Times New Roman" w:hAnsi="Times New Roman" w:cs="Times New Roman"/>
          <w:sz w:val="24"/>
          <w:szCs w:val="24"/>
        </w:rPr>
        <w:t>There have</w:t>
      </w:r>
      <w:r w:rsidR="00A03E25" w:rsidRPr="006023BE">
        <w:rPr>
          <w:rFonts w:ascii="Times New Roman" w:hAnsi="Times New Roman" w:cs="Times New Roman"/>
          <w:sz w:val="24"/>
          <w:szCs w:val="24"/>
        </w:rPr>
        <w:t xml:space="preserve"> </w:t>
      </w:r>
      <w:r w:rsidRPr="006023BE">
        <w:rPr>
          <w:rFonts w:ascii="Times New Roman" w:hAnsi="Times New Roman" w:cs="Times New Roman"/>
          <w:sz w:val="24"/>
          <w:szCs w:val="24"/>
        </w:rPr>
        <w:t xml:space="preserve">been eight Jewish justices, </w:t>
      </w:r>
      <w:r w:rsidR="00A03E25" w:rsidRPr="006023BE">
        <w:rPr>
          <w:rFonts w:ascii="Times New Roman" w:hAnsi="Times New Roman" w:cs="Times New Roman"/>
          <w:sz w:val="24"/>
          <w:szCs w:val="24"/>
        </w:rPr>
        <w:t xml:space="preserve">beginning with Louis Brandeis and now including </w:t>
      </w:r>
      <w:r w:rsidRPr="006023BE">
        <w:rPr>
          <w:rFonts w:ascii="Times New Roman" w:hAnsi="Times New Roman" w:cs="Times New Roman"/>
          <w:sz w:val="24"/>
          <w:szCs w:val="24"/>
        </w:rPr>
        <w:t xml:space="preserve">three </w:t>
      </w:r>
      <w:r w:rsidR="00A03E25" w:rsidRPr="006023BE">
        <w:rPr>
          <w:rFonts w:ascii="Times New Roman" w:hAnsi="Times New Roman" w:cs="Times New Roman"/>
          <w:sz w:val="24"/>
          <w:szCs w:val="24"/>
        </w:rPr>
        <w:t>members of the current Court.  None of them</w:t>
      </w:r>
      <w:r w:rsidRPr="006023BE">
        <w:rPr>
          <w:rFonts w:ascii="Times New Roman" w:hAnsi="Times New Roman" w:cs="Times New Roman"/>
          <w:sz w:val="24"/>
          <w:szCs w:val="24"/>
        </w:rPr>
        <w:t xml:space="preserve">, I think it is safe to say, </w:t>
      </w:r>
      <w:r w:rsidR="00A03E25" w:rsidRPr="006023BE">
        <w:rPr>
          <w:rFonts w:ascii="Times New Roman" w:hAnsi="Times New Roman" w:cs="Times New Roman"/>
          <w:sz w:val="24"/>
          <w:szCs w:val="24"/>
        </w:rPr>
        <w:t xml:space="preserve">was or is so </w:t>
      </w:r>
      <w:r w:rsidRPr="006023BE">
        <w:rPr>
          <w:rFonts w:ascii="Times New Roman" w:hAnsi="Times New Roman" w:cs="Times New Roman"/>
          <w:sz w:val="24"/>
          <w:szCs w:val="24"/>
        </w:rPr>
        <w:t xml:space="preserve">observant that there might be </w:t>
      </w:r>
      <w:r w:rsidR="00A03E25" w:rsidRPr="006023BE">
        <w:rPr>
          <w:rFonts w:ascii="Times New Roman" w:hAnsi="Times New Roman" w:cs="Times New Roman"/>
          <w:sz w:val="24"/>
          <w:szCs w:val="24"/>
        </w:rPr>
        <w:t>genuine</w:t>
      </w:r>
      <w:r w:rsidRPr="006023BE">
        <w:rPr>
          <w:rFonts w:ascii="Times New Roman" w:hAnsi="Times New Roman" w:cs="Times New Roman"/>
          <w:sz w:val="24"/>
          <w:szCs w:val="24"/>
        </w:rPr>
        <w:t xml:space="preserve"> conflict between their commitments as Jews and fidelity to their oaths of office as justices.  Even if Yom Kippur this year had not fallen on a Saturday, one can be confident that the Court would not have heard oral arguments (even if a member of Americans United for Separation of Church and State would have brought suit—though where?—arguing that recognition of Yom Kippur would have violated the Establishment Clause).  It would be, perhaps, an interesting intellectual exercise to try to imagine a reasonably plausible legal controversy within the United States that might generate a tension between the joint commitment of a “Jewish justice” to the dual sovereignty of God and the Constitution.</w:t>
      </w:r>
    </w:p>
    <w:p w14:paraId="383823D8" w14:textId="6C020D55" w:rsidR="00424854" w:rsidRPr="006023BE" w:rsidRDefault="00FB2104" w:rsidP="00DC4CB9">
      <w:pPr>
        <w:pStyle w:val="NormalWeb"/>
        <w:spacing w:line="480" w:lineRule="auto"/>
        <w:ind w:firstLine="720"/>
        <w:rPr>
          <w:color w:val="auto"/>
        </w:rPr>
      </w:pPr>
      <w:r w:rsidRPr="006023BE">
        <w:rPr>
          <w:color w:val="auto"/>
        </w:rPr>
        <w:t xml:space="preserve">Those of us interested in comparative constitutional law </w:t>
      </w:r>
      <w:r w:rsidR="00424854" w:rsidRPr="006023BE">
        <w:rPr>
          <w:color w:val="auto"/>
        </w:rPr>
        <w:t>are well aware that at least some national constitutions “solve” this tension by proudly proclaiming their embeddedness within a given religious tradition.  This can be done in a quite subtle way, as through the Greek Constitution’s being presented “In the name of the Holy and Consubstantial and Indivisible Trinity.”</w:t>
      </w:r>
      <w:r w:rsidR="00B84ECE">
        <w:rPr>
          <w:rStyle w:val="FootnoteReference"/>
          <w:color w:val="auto"/>
        </w:rPr>
        <w:footnoteReference w:id="43"/>
      </w:r>
      <w:r w:rsidR="00424854" w:rsidRPr="006023BE">
        <w:rPr>
          <w:color w:val="auto"/>
        </w:rPr>
        <w:t xml:space="preserve">  Other constitutions, including, among others, those of Saudi Arabia and Pakistan, are considerably less subtle.  Thus the constitution of t</w:t>
      </w:r>
      <w:r w:rsidR="00DE5167">
        <w:rPr>
          <w:color w:val="auto"/>
        </w:rPr>
        <w:t>he Islamic Republic of Pakistan</w:t>
      </w:r>
      <w:r w:rsidR="00424854" w:rsidRPr="006023BE">
        <w:rPr>
          <w:color w:val="auto"/>
        </w:rPr>
        <w:t xml:space="preserve"> begins with the statement</w:t>
      </w:r>
      <w:r w:rsidR="00E217A9" w:rsidRPr="006023BE">
        <w:rPr>
          <w:color w:val="auto"/>
        </w:rPr>
        <w:t xml:space="preserve">s, among others, </w:t>
      </w:r>
      <w:r w:rsidR="00424854" w:rsidRPr="006023BE">
        <w:rPr>
          <w:color w:val="auto"/>
        </w:rPr>
        <w:t>that “</w:t>
      </w:r>
      <w:r w:rsidR="00E217A9" w:rsidRPr="006023BE">
        <w:rPr>
          <w:color w:val="auto"/>
        </w:rPr>
        <w:t xml:space="preserve"> . . . </w:t>
      </w:r>
      <w:r w:rsidR="00424854" w:rsidRPr="006023BE">
        <w:rPr>
          <w:color w:val="auto"/>
        </w:rPr>
        <w:t xml:space="preserve">sovereignty over the entire Universe belongs to Almighty Allah alone, and the authority to be exercised by the people of Pakistan within the </w:t>
      </w:r>
      <w:r w:rsidR="00424854" w:rsidRPr="006023BE">
        <w:rPr>
          <w:color w:val="auto"/>
        </w:rPr>
        <w:lastRenderedPageBreak/>
        <w:t>limits prescribed by Him is a sacred trust</w:t>
      </w:r>
      <w:r w:rsidR="00E217A9" w:rsidRPr="006023BE">
        <w:rPr>
          <w:color w:val="auto"/>
        </w:rPr>
        <w:t>” and “</w:t>
      </w:r>
      <w:r w:rsidR="00424854" w:rsidRPr="006023BE">
        <w:rPr>
          <w:color w:val="auto"/>
        </w:rPr>
        <w:t>the principles of democracy, freedom, equality, tolerance and social justice, as enunciated by Islam, shall be fully observed</w:t>
      </w:r>
      <w:r w:rsidR="00E217A9" w:rsidRPr="006023BE">
        <w:rPr>
          <w:color w:val="auto"/>
        </w:rPr>
        <w:t>.”</w:t>
      </w:r>
      <w:r w:rsidR="00E217A9" w:rsidRPr="006023BE">
        <w:rPr>
          <w:rStyle w:val="FootnoteReference"/>
          <w:color w:val="auto"/>
        </w:rPr>
        <w:footnoteReference w:id="44"/>
      </w:r>
      <w:r w:rsidR="00E217A9" w:rsidRPr="006023BE">
        <w:rPr>
          <w:color w:val="auto"/>
        </w:rPr>
        <w:t xml:space="preserve">  </w:t>
      </w:r>
    </w:p>
    <w:p w14:paraId="5CC3FA78" w14:textId="77777777" w:rsidR="00C42B33" w:rsidRPr="006023BE" w:rsidRDefault="00A725AE" w:rsidP="00DC4CB9">
      <w:pPr>
        <w:spacing w:after="240" w:line="480" w:lineRule="auto"/>
        <w:ind w:firstLine="720"/>
        <w:rPr>
          <w:rFonts w:ascii="Times New Roman" w:hAnsi="Times New Roman" w:cs="Times New Roman"/>
          <w:sz w:val="24"/>
          <w:szCs w:val="24"/>
        </w:rPr>
      </w:pPr>
      <w:r w:rsidRPr="006023BE">
        <w:rPr>
          <w:rFonts w:ascii="Times New Roman" w:hAnsi="Times New Roman" w:cs="Times New Roman"/>
          <w:sz w:val="24"/>
          <w:szCs w:val="24"/>
        </w:rPr>
        <w:t>Preambles</w:t>
      </w:r>
      <w:r w:rsidR="00A03E25" w:rsidRPr="006023BE">
        <w:rPr>
          <w:rFonts w:ascii="Times New Roman" w:hAnsi="Times New Roman" w:cs="Times New Roman"/>
          <w:sz w:val="24"/>
          <w:szCs w:val="24"/>
        </w:rPr>
        <w:t xml:space="preserve"> assert basic commitments that presumably underlie the constitutional text to follow.  </w:t>
      </w:r>
      <w:r w:rsidR="00372A60" w:rsidRPr="006023BE">
        <w:rPr>
          <w:rFonts w:ascii="Times New Roman" w:hAnsi="Times New Roman" w:cs="Times New Roman"/>
          <w:sz w:val="24"/>
          <w:szCs w:val="24"/>
        </w:rPr>
        <w:t>Justice Holmes once notably stated that constitutions are made for persons with fundamentally different views.</w:t>
      </w:r>
      <w:r w:rsidR="00DE5167">
        <w:rPr>
          <w:rStyle w:val="FootnoteReference"/>
          <w:rFonts w:ascii="Times New Roman" w:hAnsi="Times New Roman" w:cs="Times New Roman"/>
          <w:sz w:val="24"/>
          <w:szCs w:val="24"/>
        </w:rPr>
        <w:footnoteReference w:id="45"/>
      </w:r>
      <w:r w:rsidR="00372A60" w:rsidRPr="006023BE">
        <w:rPr>
          <w:rFonts w:ascii="Times New Roman" w:hAnsi="Times New Roman" w:cs="Times New Roman"/>
          <w:sz w:val="24"/>
          <w:szCs w:val="24"/>
        </w:rPr>
        <w:t xml:space="preserve">  I will note that this reality is probably the best explanation for that particular form of government we call “federalism,” whether in the United States or elsewhere.  There would be no good reason for a truly homogeneous nation to fragment into various sub-units with significant degrees of autonomous power rather than accept happy membership in a unified “nation-state.”  Rather, it is because of the reality of multi-culturalism along many different potential dimensions that federalism is rightly thought to be the only practical way of achieving any kind of political unity, even if it relatively minimal.  </w:t>
      </w:r>
    </w:p>
    <w:p w14:paraId="656CC819" w14:textId="77777777" w:rsidR="00097ADB" w:rsidRPr="006023BE" w:rsidRDefault="00097ADB" w:rsidP="00DC4CB9">
      <w:pPr>
        <w:spacing w:after="240" w:line="480" w:lineRule="auto"/>
        <w:ind w:firstLine="720"/>
        <w:rPr>
          <w:rFonts w:ascii="Times New Roman" w:hAnsi="Times New Roman" w:cs="Times New Roman"/>
          <w:sz w:val="24"/>
          <w:szCs w:val="24"/>
        </w:rPr>
      </w:pPr>
      <w:r w:rsidRPr="006023BE">
        <w:rPr>
          <w:rFonts w:ascii="Times New Roman" w:hAnsi="Times New Roman" w:cs="Times New Roman"/>
          <w:sz w:val="24"/>
          <w:szCs w:val="24"/>
        </w:rPr>
        <w:t xml:space="preserve">A standard division in many countries, of course, involves religion, whether we focus on religious multiplicity or a quite different split between the religious and the secular.  How, as an empirical matter, and ought, as a normative one, the contending parties work with one another to create a new political system (and constitution that expresses its goals and basic understandings)?  These questions boil down to the degree that one can, or ought, to expect genuine </w:t>
      </w:r>
      <w:r w:rsidRPr="006023BE">
        <w:rPr>
          <w:rFonts w:ascii="Times New Roman" w:hAnsi="Times New Roman" w:cs="Times New Roman"/>
          <w:i/>
          <w:sz w:val="24"/>
          <w:szCs w:val="24"/>
        </w:rPr>
        <w:t xml:space="preserve">compromises </w:t>
      </w:r>
      <w:r w:rsidRPr="006023BE">
        <w:rPr>
          <w:rFonts w:ascii="Times New Roman" w:hAnsi="Times New Roman" w:cs="Times New Roman"/>
          <w:sz w:val="24"/>
          <w:szCs w:val="24"/>
        </w:rPr>
        <w:t xml:space="preserve">among the contending parties.  </w:t>
      </w:r>
    </w:p>
    <w:p w14:paraId="1945669D" w14:textId="62836211" w:rsidR="006023BE" w:rsidRPr="006023BE" w:rsidRDefault="00097ADB" w:rsidP="00DC4CB9">
      <w:pPr>
        <w:spacing w:after="240" w:line="480" w:lineRule="auto"/>
        <w:ind w:firstLine="720"/>
        <w:rPr>
          <w:rFonts w:ascii="Times New Roman" w:hAnsi="Times New Roman" w:cs="Times New Roman"/>
          <w:sz w:val="24"/>
          <w:szCs w:val="24"/>
        </w:rPr>
      </w:pPr>
      <w:r w:rsidRPr="006023BE">
        <w:rPr>
          <w:rFonts w:ascii="Times New Roman" w:hAnsi="Times New Roman" w:cs="Times New Roman"/>
          <w:sz w:val="24"/>
          <w:szCs w:val="24"/>
        </w:rPr>
        <w:lastRenderedPageBreak/>
        <w:t xml:space="preserve">Especially illuminating in this regard is a remarkable book, </w:t>
      </w:r>
      <w:r w:rsidRPr="006023BE">
        <w:rPr>
          <w:rFonts w:ascii="Times New Roman" w:hAnsi="Times New Roman" w:cs="Times New Roman"/>
          <w:i/>
          <w:sz w:val="24"/>
          <w:szCs w:val="24"/>
        </w:rPr>
        <w:t xml:space="preserve">Constitution by Consensus, </w:t>
      </w:r>
      <w:r w:rsidR="00EF7E3F" w:rsidRPr="006023BE">
        <w:rPr>
          <w:rFonts w:ascii="Times New Roman" w:hAnsi="Times New Roman" w:cs="Times New Roman"/>
          <w:sz w:val="24"/>
          <w:szCs w:val="24"/>
        </w:rPr>
        <w:t>published in 2007</w:t>
      </w:r>
      <w:r w:rsidRPr="006023BE">
        <w:rPr>
          <w:rFonts w:ascii="Times New Roman" w:hAnsi="Times New Roman" w:cs="Times New Roman"/>
          <w:sz w:val="24"/>
          <w:szCs w:val="24"/>
        </w:rPr>
        <w:t xml:space="preserve"> in the aftermath of over two years of  intense meetings and debates among a group of diverse Israelis about what form a written constitution for that country might take</w:t>
      </w:r>
      <w:r w:rsidR="003E6EEC" w:rsidRPr="006023BE">
        <w:rPr>
          <w:rFonts w:ascii="Times New Roman" w:hAnsi="Times New Roman" w:cs="Times New Roman"/>
          <w:sz w:val="24"/>
          <w:szCs w:val="24"/>
        </w:rPr>
        <w:t xml:space="preserve">, especially given the </w:t>
      </w:r>
      <w:r w:rsidR="006023BE" w:rsidRPr="006023BE">
        <w:rPr>
          <w:rFonts w:ascii="Times New Roman" w:hAnsi="Times New Roman" w:cs="Times New Roman"/>
          <w:sz w:val="24"/>
          <w:szCs w:val="24"/>
        </w:rPr>
        <w:t xml:space="preserve">insistence by almost all contemporary </w:t>
      </w:r>
      <w:r w:rsidR="00DE5167" w:rsidRPr="006023BE">
        <w:rPr>
          <w:rFonts w:ascii="Times New Roman" w:hAnsi="Times New Roman" w:cs="Times New Roman"/>
          <w:sz w:val="24"/>
          <w:szCs w:val="24"/>
        </w:rPr>
        <w:t>Israeli</w:t>
      </w:r>
      <w:r w:rsidR="006023BE" w:rsidRPr="006023BE">
        <w:rPr>
          <w:rFonts w:ascii="Times New Roman" w:hAnsi="Times New Roman" w:cs="Times New Roman"/>
          <w:sz w:val="24"/>
          <w:szCs w:val="24"/>
        </w:rPr>
        <w:t xml:space="preserve"> Jews to that </w:t>
      </w:r>
      <w:r w:rsidR="003E6EEC" w:rsidRPr="006023BE">
        <w:rPr>
          <w:rFonts w:ascii="Times New Roman" w:hAnsi="Times New Roman" w:cs="Times New Roman"/>
          <w:sz w:val="24"/>
          <w:szCs w:val="24"/>
        </w:rPr>
        <w:t xml:space="preserve">Israel’s </w:t>
      </w:r>
      <w:r w:rsidR="006023BE" w:rsidRPr="006023BE">
        <w:rPr>
          <w:rFonts w:ascii="Times New Roman" w:hAnsi="Times New Roman" w:cs="Times New Roman"/>
          <w:sz w:val="24"/>
          <w:szCs w:val="24"/>
        </w:rPr>
        <w:t xml:space="preserve">has a joint identity as </w:t>
      </w:r>
      <w:r w:rsidR="003E6EEC" w:rsidRPr="006023BE">
        <w:rPr>
          <w:rFonts w:ascii="Times New Roman" w:hAnsi="Times New Roman" w:cs="Times New Roman"/>
          <w:sz w:val="24"/>
          <w:szCs w:val="24"/>
        </w:rPr>
        <w:t xml:space="preserve">both a </w:t>
      </w:r>
      <w:r w:rsidR="003E6EEC" w:rsidRPr="006023BE">
        <w:rPr>
          <w:rFonts w:ascii="Times New Roman" w:hAnsi="Times New Roman" w:cs="Times New Roman"/>
          <w:i/>
          <w:sz w:val="24"/>
          <w:szCs w:val="24"/>
        </w:rPr>
        <w:t xml:space="preserve">democratic </w:t>
      </w:r>
      <w:r w:rsidR="003E6EEC" w:rsidRPr="006023BE">
        <w:rPr>
          <w:rFonts w:ascii="Times New Roman" w:hAnsi="Times New Roman" w:cs="Times New Roman"/>
          <w:sz w:val="24"/>
          <w:szCs w:val="24"/>
        </w:rPr>
        <w:t xml:space="preserve">and a </w:t>
      </w:r>
      <w:r w:rsidR="003E6EEC" w:rsidRPr="006023BE">
        <w:rPr>
          <w:rFonts w:ascii="Times New Roman" w:hAnsi="Times New Roman" w:cs="Times New Roman"/>
          <w:i/>
          <w:sz w:val="24"/>
          <w:szCs w:val="24"/>
        </w:rPr>
        <w:t xml:space="preserve">Jewish </w:t>
      </w:r>
      <w:r w:rsidR="003E6EEC" w:rsidRPr="006023BE">
        <w:rPr>
          <w:rFonts w:ascii="Times New Roman" w:hAnsi="Times New Roman" w:cs="Times New Roman"/>
          <w:sz w:val="24"/>
          <w:szCs w:val="24"/>
        </w:rPr>
        <w:t>state.</w:t>
      </w:r>
      <w:r w:rsidRPr="006023BE">
        <w:rPr>
          <w:rFonts w:ascii="Times New Roman" w:hAnsi="Times New Roman" w:cs="Times New Roman"/>
          <w:sz w:val="24"/>
          <w:szCs w:val="24"/>
        </w:rPr>
        <w:t xml:space="preserve"> It is, of course, a truth, notorious or otherwise, that Israel remains in the exceedingly small group of countries that has no canonical written constitution</w:t>
      </w:r>
      <w:r w:rsidR="00F51148" w:rsidRPr="006023BE">
        <w:rPr>
          <w:rFonts w:ascii="Times New Roman" w:hAnsi="Times New Roman" w:cs="Times New Roman"/>
          <w:sz w:val="24"/>
          <w:szCs w:val="24"/>
        </w:rPr>
        <w:t xml:space="preserve">.  There are various explanations for this fact, but surely a principal one is the division present in Israel from its very beginning between religious and secular Jews.  </w:t>
      </w:r>
      <w:r w:rsidRPr="006023BE">
        <w:rPr>
          <w:rFonts w:ascii="Times New Roman" w:hAnsi="Times New Roman" w:cs="Times New Roman"/>
          <w:sz w:val="24"/>
          <w:szCs w:val="24"/>
        </w:rPr>
        <w:t xml:space="preserve">The group </w:t>
      </w:r>
      <w:r w:rsidR="00F51148" w:rsidRPr="006023BE">
        <w:rPr>
          <w:rFonts w:ascii="Times New Roman" w:hAnsi="Times New Roman" w:cs="Times New Roman"/>
          <w:sz w:val="24"/>
          <w:szCs w:val="24"/>
        </w:rPr>
        <w:t xml:space="preserve">that contributed to </w:t>
      </w:r>
      <w:r w:rsidR="00F51148" w:rsidRPr="006023BE">
        <w:rPr>
          <w:rFonts w:ascii="Times New Roman" w:hAnsi="Times New Roman" w:cs="Times New Roman"/>
          <w:i/>
          <w:sz w:val="24"/>
          <w:szCs w:val="24"/>
        </w:rPr>
        <w:t xml:space="preserve">Constitution by Consensus </w:t>
      </w:r>
      <w:r w:rsidRPr="006023BE">
        <w:rPr>
          <w:rFonts w:ascii="Times New Roman" w:hAnsi="Times New Roman" w:cs="Times New Roman"/>
          <w:sz w:val="24"/>
          <w:szCs w:val="24"/>
        </w:rPr>
        <w:t xml:space="preserve">was not so diverse as it might well have been; it included no Israeli Arabs, for example. But it certainly drew from both the secular and sectarian Jewish communities, as well as from strong nationalists and more cosmopolitan liberals. </w:t>
      </w:r>
    </w:p>
    <w:p w14:paraId="167E4E5C" w14:textId="4A18999A" w:rsidR="00372A60" w:rsidRPr="006023BE" w:rsidRDefault="00830B57" w:rsidP="00DC4CB9">
      <w:pPr>
        <w:spacing w:after="240" w:line="480" w:lineRule="auto"/>
        <w:ind w:firstLine="720"/>
        <w:rPr>
          <w:rFonts w:ascii="Times New Roman" w:hAnsi="Times New Roman" w:cs="Times New Roman"/>
          <w:sz w:val="24"/>
          <w:szCs w:val="24"/>
        </w:rPr>
      </w:pPr>
      <w:r w:rsidRPr="006023BE">
        <w:rPr>
          <w:rFonts w:ascii="Times New Roman" w:hAnsi="Times New Roman" w:cs="Times New Roman"/>
          <w:sz w:val="24"/>
          <w:szCs w:val="24"/>
        </w:rPr>
        <w:t>The chair of the group, Arye Carmon, refers to “compromise as an integral element” of resolving the “</w:t>
      </w:r>
      <w:r>
        <w:rPr>
          <w:rFonts w:ascii="Times New Roman" w:hAnsi="Times New Roman" w:cs="Times New Roman"/>
          <w:sz w:val="24"/>
          <w:szCs w:val="24"/>
        </w:rPr>
        <w:t>existential need in Israel now.”</w:t>
      </w:r>
      <w:r w:rsidRPr="00830B57">
        <w:rPr>
          <w:rStyle w:val="FootnoteReference"/>
          <w:rFonts w:ascii="Times New Roman" w:hAnsi="Times New Roman" w:cs="Times New Roman"/>
          <w:i/>
          <w:sz w:val="24"/>
          <w:szCs w:val="24"/>
        </w:rPr>
        <w:t xml:space="preserve"> </w:t>
      </w:r>
      <w:r w:rsidRPr="006023BE">
        <w:rPr>
          <w:rStyle w:val="FootnoteReference"/>
          <w:rFonts w:ascii="Times New Roman" w:hAnsi="Times New Roman" w:cs="Times New Roman"/>
          <w:i/>
          <w:sz w:val="24"/>
          <w:szCs w:val="24"/>
        </w:rPr>
        <w:footnoteReference w:id="46"/>
      </w:r>
      <w:r w:rsidRPr="006023BE">
        <w:rPr>
          <w:rFonts w:ascii="Times New Roman" w:hAnsi="Times New Roman" w:cs="Times New Roman"/>
          <w:sz w:val="24"/>
          <w:szCs w:val="24"/>
        </w:rPr>
        <w:t xml:space="preserve"> </w:t>
      </w:r>
      <w:r w:rsidR="00097ADB" w:rsidRPr="006023BE">
        <w:rPr>
          <w:rFonts w:ascii="Times New Roman" w:hAnsi="Times New Roman" w:cs="Times New Roman"/>
          <w:sz w:val="24"/>
          <w:szCs w:val="24"/>
        </w:rPr>
        <w:t>The first section of the book is a group of essays titled “I Believe,” in which the participants write quite candidly of their mixed feelings regarding their common enterprise.</w:t>
      </w:r>
      <w:r w:rsidR="00DE5167">
        <w:rPr>
          <w:rStyle w:val="FootnoteReference"/>
          <w:rFonts w:ascii="Times New Roman" w:hAnsi="Times New Roman" w:cs="Times New Roman"/>
          <w:sz w:val="24"/>
          <w:szCs w:val="24"/>
        </w:rPr>
        <w:footnoteReference w:id="47"/>
      </w:r>
      <w:r w:rsidR="00097ADB" w:rsidRPr="006023BE">
        <w:rPr>
          <w:rFonts w:ascii="Times New Roman" w:hAnsi="Times New Roman" w:cs="Times New Roman"/>
          <w:sz w:val="24"/>
          <w:szCs w:val="24"/>
        </w:rPr>
        <w:t xml:space="preserve"> Not surprisingly, the word </w:t>
      </w:r>
      <w:r w:rsidR="00097ADB" w:rsidRPr="006023BE">
        <w:rPr>
          <w:rFonts w:ascii="Times New Roman" w:hAnsi="Times New Roman" w:cs="Times New Roman"/>
          <w:i/>
          <w:sz w:val="24"/>
          <w:szCs w:val="24"/>
        </w:rPr>
        <w:t>compromise</w:t>
      </w:r>
      <w:r w:rsidR="00097ADB" w:rsidRPr="006023BE">
        <w:rPr>
          <w:rFonts w:ascii="Times New Roman" w:hAnsi="Times New Roman" w:cs="Times New Roman"/>
          <w:sz w:val="24"/>
          <w:szCs w:val="24"/>
        </w:rPr>
        <w:t xml:space="preserve"> reappears often in the various statements and in a final collective statement acknowledging that necessary “compromises and concessions will be painful” in order to achieve the goal. There is, however, no guarantee that compromises—because they </w:t>
      </w:r>
      <w:r w:rsidR="00097ADB" w:rsidRPr="006023BE">
        <w:rPr>
          <w:rFonts w:ascii="Times New Roman" w:hAnsi="Times New Roman" w:cs="Times New Roman"/>
          <w:i/>
          <w:sz w:val="24"/>
          <w:szCs w:val="24"/>
        </w:rPr>
        <w:t xml:space="preserve">are </w:t>
      </w:r>
      <w:r w:rsidR="00097ADB" w:rsidRPr="006023BE">
        <w:rPr>
          <w:rFonts w:ascii="Times New Roman" w:hAnsi="Times New Roman" w:cs="Times New Roman"/>
          <w:sz w:val="24"/>
          <w:szCs w:val="24"/>
        </w:rPr>
        <w:t xml:space="preserve">painful—will in fact take place. There is only the expression of a strong belief that a failure to compromise may be fatal to the future of the Israeli project, however defined. </w:t>
      </w:r>
    </w:p>
    <w:p w14:paraId="0690D12E" w14:textId="77777777" w:rsidR="00F51148" w:rsidRPr="006023BE" w:rsidRDefault="00F51148" w:rsidP="00DC4CB9">
      <w:pPr>
        <w:pStyle w:val="P1"/>
      </w:pPr>
      <w:r w:rsidRPr="006023BE">
        <w:lastRenderedPageBreak/>
        <w:t xml:space="preserve">Perhaps Israelis should listen carefully to President Obama, as he defended his own compromise with Senate Republicans after the November 2010 elections that, among other things, extended all of the </w:t>
      </w:r>
      <w:bookmarkStart w:id="1" w:name="ng_Hyphenation_000000018"/>
      <w:r w:rsidRPr="006023BE">
        <w:t>Bush-era</w:t>
      </w:r>
      <w:bookmarkEnd w:id="1"/>
      <w:r w:rsidRPr="006023BE">
        <w:t xml:space="preserve"> tax cuts for two years. Castigated by many members of his own party, the president answered them at a news conference, noting that the United States is</w:t>
      </w:r>
    </w:p>
    <w:p w14:paraId="7CB57633" w14:textId="77777777" w:rsidR="00F51148" w:rsidRPr="006023BE" w:rsidRDefault="00F51148" w:rsidP="00DC4CB9">
      <w:pPr>
        <w:pStyle w:val="EXT"/>
        <w:rPr>
          <w:color w:val="auto"/>
        </w:rPr>
      </w:pPr>
      <w:r w:rsidRPr="006023BE">
        <w:rPr>
          <w:color w:val="auto"/>
        </w:rPr>
        <w:t>a big, diverse country and people have a lot of complicated positions[;] it means that in order to get stuff done, we’re going to compromise . . . This country was founded on compromise. I couldn’t go through the front door at this country’s founding. And if we were really thinking about ideal positions, we wouldn’t have a union.</w:t>
      </w:r>
      <w:r w:rsidR="00920BA5" w:rsidRPr="006023BE">
        <w:rPr>
          <w:rStyle w:val="FootnoteReference"/>
          <w:color w:val="auto"/>
        </w:rPr>
        <w:footnoteReference w:id="48"/>
      </w:r>
    </w:p>
    <w:p w14:paraId="58846DF9" w14:textId="77777777" w:rsidR="00F51148" w:rsidRPr="006023BE" w:rsidRDefault="00920BA5" w:rsidP="00DC4CB9">
      <w:pPr>
        <w:pStyle w:val="P"/>
      </w:pPr>
      <w:r w:rsidRPr="006023BE">
        <w:t xml:space="preserve">Think carefully about what he is saying:  It was worth engaging in what the Israeli philosopher Avishai Margalit has termed a “rotten compromise” with slaveowners in order to get the good of the Union.    It would presumably have been a profound error for </w:t>
      </w:r>
      <w:bookmarkStart w:id="2" w:name="ng_Hyphenation_000000020"/>
      <w:r w:rsidR="00F51148" w:rsidRPr="006023BE">
        <w:t>anti-slavery</w:t>
      </w:r>
      <w:bookmarkEnd w:id="2"/>
      <w:r w:rsidR="00F51148" w:rsidRPr="006023BE">
        <w:t xml:space="preserve"> delegates</w:t>
      </w:r>
      <w:r w:rsidRPr="006023BE">
        <w:t xml:space="preserve">, whatever the purity (and correctness) of their own views to reject compromise and thereby risk the almost certain </w:t>
      </w:r>
      <w:r w:rsidR="00F51148" w:rsidRPr="006023BE">
        <w:t>the dissolution of the Union</w:t>
      </w:r>
      <w:r w:rsidRPr="006023BE">
        <w:t>.</w:t>
      </w:r>
    </w:p>
    <w:p w14:paraId="6B7BD594" w14:textId="5160F97A" w:rsidR="00920BA5" w:rsidRPr="006023BE" w:rsidRDefault="00F51148" w:rsidP="00DC4CB9">
      <w:pPr>
        <w:pStyle w:val="P1"/>
      </w:pPr>
      <w:r w:rsidRPr="006023BE">
        <w:t>Return to Israel</w:t>
      </w:r>
      <w:r w:rsidR="00920BA5" w:rsidRPr="006023BE">
        <w:t xml:space="preserve"> a</w:t>
      </w:r>
      <w:r w:rsidRPr="006023BE">
        <w:t xml:space="preserve">nd consider the following statement made by </w:t>
      </w:r>
      <w:r w:rsidR="00920BA5" w:rsidRPr="006023BE">
        <w:t xml:space="preserve">the Israeli Minister of Welfare in 1948 to the Knesset </w:t>
      </w:r>
      <w:r w:rsidR="003E6EEC" w:rsidRPr="006023BE">
        <w:t xml:space="preserve">during </w:t>
      </w:r>
      <w:r w:rsidRPr="006023BE">
        <w:t>the debate over whether the new country should adopt a written constitution:</w:t>
      </w:r>
      <w:r w:rsidR="00F07FAD" w:rsidRPr="006023BE">
        <w:t xml:space="preserve">  </w:t>
      </w:r>
      <w:r w:rsidRPr="006023BE">
        <w:t xml:space="preserve"> “The Jewish people are willing to resign themselves to many things,” said Yitzhak Meir Levi, “but the moment the issue touches upon the foundations of their faith, they are unable to compromise. If you wish to foist upon us this type of life or a constitution that will be contrary to the laws of the Torah, we will not accept it!”</w:t>
      </w:r>
      <w:r w:rsidR="00DE5167">
        <w:rPr>
          <w:rStyle w:val="FootnoteReference"/>
        </w:rPr>
        <w:footnoteReference w:id="49"/>
      </w:r>
      <w:r w:rsidRPr="006023BE">
        <w:t xml:space="preserve"> </w:t>
      </w:r>
      <w:r w:rsidR="00920BA5" w:rsidRPr="006023BE">
        <w:t xml:space="preserve"> This was similar to the views of another speaker, who </w:t>
      </w:r>
      <w:r w:rsidR="00F07FAD" w:rsidRPr="006023BE">
        <w:t xml:space="preserve">warned his fellow parliamentarians, meeting in their joint role as a </w:t>
      </w:r>
      <w:r w:rsidR="00F07FAD" w:rsidRPr="006023BE">
        <w:lastRenderedPageBreak/>
        <w:t>potential constitutional convention, that “</w:t>
      </w:r>
      <w:r w:rsidR="00920BA5" w:rsidRPr="006023BE">
        <w:t xml:space="preserve">the experience of drafting a constitution would necessarily entail a severe, vigorous uncompromising war of opinions. A war of spirit, which is defined by the gruesome concept of </w:t>
      </w:r>
      <w:r w:rsidR="00920BA5" w:rsidRPr="006023BE">
        <w:rPr>
          <w:i/>
          <w:iCs/>
        </w:rPr>
        <w:t>Kulturkampf</w:t>
      </w:r>
      <w:r w:rsidR="00920BA5" w:rsidRPr="006023BE">
        <w:t>.</w:t>
      </w:r>
      <w:r w:rsidR="00F07FAD" w:rsidRPr="006023BE">
        <w:t>” This was not, he suggested, “</w:t>
      </w:r>
      <w:r w:rsidR="00920BA5" w:rsidRPr="006023BE">
        <w:t>a convenient time for a thorough and penetrating examination of our essence and purpose</w:t>
      </w:r>
      <w:r w:rsidR="00F07FAD" w:rsidRPr="006023BE">
        <w:t>” inasmuch as “</w:t>
      </w:r>
      <w:r w:rsidR="00920BA5" w:rsidRPr="006023BE">
        <w:t>there is no room for any compromises, any concessions or mutual agreements, since no man can compromise and concede on issues upon which his belief and soul depend.</w:t>
      </w:r>
      <w:r w:rsidR="003E6EEC" w:rsidRPr="006023BE">
        <w:t>”</w:t>
      </w:r>
      <w:r w:rsidR="00830B57" w:rsidRPr="00830B57">
        <w:rPr>
          <w:rStyle w:val="FootnoteReference"/>
        </w:rPr>
        <w:t xml:space="preserve"> </w:t>
      </w:r>
      <w:r w:rsidR="00830B57">
        <w:rPr>
          <w:rStyle w:val="FootnoteReference"/>
        </w:rPr>
        <w:footnoteReference w:id="50"/>
      </w:r>
      <w:r w:rsidR="00830B57" w:rsidRPr="006023BE">
        <w:t xml:space="preserve"> </w:t>
      </w:r>
    </w:p>
    <w:p w14:paraId="08BD6CBB" w14:textId="28B77299" w:rsidR="00F51148" w:rsidRPr="006023BE" w:rsidRDefault="00F51148" w:rsidP="00DC4CB9">
      <w:pPr>
        <w:pStyle w:val="P1"/>
      </w:pPr>
      <w:r w:rsidRPr="006023BE">
        <w:t xml:space="preserve">These turned out to be winning arguments, inasmuch as Israel did not in fact adopt a canonical written constitution. </w:t>
      </w:r>
      <w:r w:rsidR="00D519D9">
        <w:t xml:space="preserve">  </w:t>
      </w:r>
      <w:r w:rsidRPr="006023BE">
        <w:t>As Arye Carmon and his associates emphasize, Israel will get a constitution in the twenty-first century only if those like Levi agree to compromise in return for similarly anguished compromise from their secular opponents.</w:t>
      </w:r>
    </w:p>
    <w:p w14:paraId="6600ED04" w14:textId="77777777" w:rsidR="00F07FAD" w:rsidRPr="006023BE" w:rsidRDefault="00F07FAD" w:rsidP="00DC4CB9">
      <w:pPr>
        <w:pStyle w:val="P1"/>
      </w:pPr>
      <w:r w:rsidRPr="006023BE">
        <w:t xml:space="preserve">Anyone familiar with the Israeli-Palestinian dimension of Middle East politics knows that anguished compromises will have to be made by both sides </w:t>
      </w:r>
      <w:r w:rsidR="00D1087B" w:rsidRPr="006023BE">
        <w:t>to achieve any lasting reasonably peaceful solutions, but this is true even if everyone at the negotiating table is relentlessly secular.  The compromises would be measured, and then either accepted or rejected, by reference to presumed empirical criteria, including the ability to sell them to their respective publics.  We could justifiably condemn one or the other sides if we believed either that they were relying on demonstrably false empirical assumptions or were simply cowardly in being unwilling to take to their “bases” what cold logic dictated to be a reasonable settlement.</w:t>
      </w:r>
    </w:p>
    <w:p w14:paraId="4C919D4D" w14:textId="09A4520F" w:rsidR="00D1087B" w:rsidRPr="006023BE" w:rsidRDefault="00D1087B" w:rsidP="00DC4CB9">
      <w:pPr>
        <w:pStyle w:val="P1"/>
        <w:rPr>
          <w:i/>
        </w:rPr>
      </w:pPr>
      <w:r w:rsidRPr="006023BE">
        <w:t xml:space="preserve">How does the situation change, if at all, if the basis of disagreement is not different readings of “facts on the ground,” so to speak, but, rather, </w:t>
      </w:r>
      <w:r w:rsidR="00DC4CB9" w:rsidRPr="006023BE">
        <w:t xml:space="preserve">different readings of the metaphysical universe, so that, like the town clerk in upstate New York, one simply states that one is submitting to the Sovereign of the Universe in rejecting what those with different commitments </w:t>
      </w:r>
      <w:r w:rsidR="00DC4CB9" w:rsidRPr="006023BE">
        <w:lastRenderedPageBreak/>
        <w:t xml:space="preserve">view as “necessary and proper”?  With the town clerk, as already suggested, one can perhaps cite Paul or the principle of </w:t>
      </w:r>
      <w:r w:rsidR="00DC4CB9" w:rsidRPr="006023BE">
        <w:rPr>
          <w:i/>
        </w:rPr>
        <w:t xml:space="preserve">dina de malkhuta dina.  </w:t>
      </w:r>
      <w:r w:rsidR="00DC4CB9" w:rsidRPr="006023BE">
        <w:t xml:space="preserve">But what relevance do those notions have when one is discussing </w:t>
      </w:r>
      <w:r w:rsidR="00DC4CB9" w:rsidRPr="006023BE">
        <w:rPr>
          <w:i/>
        </w:rPr>
        <w:t>not</w:t>
      </w:r>
      <w:r w:rsidR="00DC4CB9" w:rsidRPr="006023BE">
        <w:t xml:space="preserve"> a government in being, with its appointed ministers and laws, but, rather, the </w:t>
      </w:r>
      <w:r w:rsidR="00DC4CB9" w:rsidRPr="006023BE">
        <w:rPr>
          <w:i/>
        </w:rPr>
        <w:t xml:space="preserve">creation </w:t>
      </w:r>
      <w:r w:rsidR="00DC4CB9" w:rsidRPr="006023BE">
        <w:t>of a new system of government that will itself authorize what will count as legitimate law</w:t>
      </w:r>
      <w:r w:rsidR="003E6EEC" w:rsidRPr="006023BE">
        <w:t>, especially in a self-styled “Jewish state”</w:t>
      </w:r>
      <w:r w:rsidR="00DC4CB9" w:rsidRPr="006023BE">
        <w:t>?</w:t>
      </w:r>
      <w:r w:rsidR="00DC4CB9" w:rsidRPr="006023BE">
        <w:rPr>
          <w:i/>
        </w:rPr>
        <w:t xml:space="preserve"> </w:t>
      </w:r>
    </w:p>
    <w:p w14:paraId="094C6D91" w14:textId="7CDEC74B" w:rsidR="00D1087B" w:rsidRPr="006023BE" w:rsidRDefault="00EF7E3F" w:rsidP="00DC4CB9">
      <w:pPr>
        <w:pStyle w:val="P1"/>
        <w:rPr>
          <w:i/>
        </w:rPr>
      </w:pPr>
      <w:r w:rsidRPr="006023BE">
        <w:t xml:space="preserve">So let me ask a question to </w:t>
      </w:r>
      <w:r w:rsidR="0066558C" w:rsidRPr="006023BE">
        <w:t xml:space="preserve">this distinguished audience, </w:t>
      </w:r>
      <w:r w:rsidRPr="006023BE">
        <w:t xml:space="preserve">especially given the occasion to recognize the presence of my friend </w:t>
      </w:r>
      <w:r w:rsidR="0066558C" w:rsidRPr="006023BE">
        <w:t>Samuel Levine as the director of the Jewish Law Institute</w:t>
      </w:r>
      <w:r w:rsidRPr="006023BE">
        <w:t xml:space="preserve">.  Are </w:t>
      </w:r>
      <w:r w:rsidR="0066558C" w:rsidRPr="006023BE">
        <w:t xml:space="preserve">there materials internal to Jewish law </w:t>
      </w:r>
      <w:r w:rsidR="003E6EEC" w:rsidRPr="006023BE">
        <w:t xml:space="preserve">that </w:t>
      </w:r>
      <w:r w:rsidR="0066558C" w:rsidRPr="006023BE">
        <w:t xml:space="preserve">might help persuade devout Jews like those quoted by Prof. Hanna </w:t>
      </w:r>
      <w:r w:rsidR="006023BE" w:rsidRPr="006023BE">
        <w:t xml:space="preserve">Lerner </w:t>
      </w:r>
      <w:r w:rsidR="0066558C" w:rsidRPr="006023BE">
        <w:t>in her book</w:t>
      </w:r>
      <w:r w:rsidR="003E6EEC" w:rsidRPr="006023BE">
        <w:t>,</w:t>
      </w:r>
      <w:r w:rsidR="0066558C" w:rsidRPr="006023BE">
        <w:t xml:space="preserve"> tellingly titled </w:t>
      </w:r>
      <w:r w:rsidR="0066558C" w:rsidRPr="006023BE">
        <w:rPr>
          <w:i/>
        </w:rPr>
        <w:t>Making Constitutions in Highly Divided Societies</w:t>
      </w:r>
      <w:r w:rsidR="00D519D9">
        <w:rPr>
          <w:i/>
        </w:rPr>
        <w:t>,</w:t>
      </w:r>
      <w:r w:rsidR="0066558C" w:rsidRPr="006023BE">
        <w:rPr>
          <w:i/>
        </w:rPr>
        <w:t xml:space="preserve"> </w:t>
      </w:r>
      <w:r w:rsidR="0066558C" w:rsidRPr="006023BE">
        <w:t>to engage in the kinds of compromises thought necessary by Professor Carmon and his colleagues</w:t>
      </w:r>
      <w:r w:rsidRPr="006023BE">
        <w:t>?</w:t>
      </w:r>
      <w:r w:rsidR="0066558C" w:rsidRPr="006023BE">
        <w:t xml:space="preserve">  </w:t>
      </w:r>
      <w:r w:rsidR="003E6EEC" w:rsidRPr="006023BE">
        <w:t xml:space="preserve">Is it relevant to </w:t>
      </w:r>
      <w:r w:rsidR="00D519D9">
        <w:t xml:space="preserve">quote </w:t>
      </w:r>
      <w:r w:rsidR="00D519D9">
        <w:rPr>
          <w:i/>
        </w:rPr>
        <w:t xml:space="preserve">Gittin 59b </w:t>
      </w:r>
      <w:r w:rsidR="00D519D9" w:rsidRPr="00830B57">
        <w:rPr>
          <w:i/>
        </w:rPr>
        <w:t>“</w:t>
      </w:r>
      <w:r w:rsidR="00D519D9" w:rsidRPr="00830B57">
        <w:t>t</w:t>
      </w:r>
      <w:r w:rsidR="00D519D9" w:rsidRPr="00830B57">
        <w:rPr>
          <w:rFonts w:eastAsiaTheme="minorEastAsia"/>
          <w:iCs/>
          <w:color w:val="310500"/>
        </w:rPr>
        <w:t>he whole of the Torah is for the purpose of promoting peace”?</w:t>
      </w:r>
      <w:r w:rsidR="00D519D9">
        <w:rPr>
          <w:rFonts w:asciiTheme="minorHAnsi" w:eastAsiaTheme="minorEastAsia" w:hAnsiTheme="minorHAnsi" w:cstheme="minorBidi"/>
          <w:iCs/>
          <w:color w:val="310500"/>
          <w:sz w:val="22"/>
          <w:szCs w:val="22"/>
        </w:rPr>
        <w:t xml:space="preserve"> </w:t>
      </w:r>
      <w:r w:rsidR="00DE5167">
        <w:rPr>
          <w:rStyle w:val="FootnoteReference"/>
          <w:lang w:val="en"/>
        </w:rPr>
        <w:footnoteReference w:id="51"/>
      </w:r>
      <w:r w:rsidR="003E6EEC" w:rsidRPr="006023BE">
        <w:rPr>
          <w:lang w:val="en"/>
        </w:rPr>
        <w:t xml:space="preserve">  </w:t>
      </w:r>
      <w:r w:rsidR="0066558C" w:rsidRPr="006023BE">
        <w:t>If not, is the enterprise of Israeli constitutionalism doomed to eternal failure</w:t>
      </w:r>
      <w:r w:rsidR="00CA7F08" w:rsidRPr="006023BE">
        <w:t>, with what</w:t>
      </w:r>
      <w:r w:rsidR="003E6EEC" w:rsidRPr="006023BE">
        <w:t>ever dire</w:t>
      </w:r>
      <w:r w:rsidR="00CA7F08" w:rsidRPr="006023BE">
        <w:t xml:space="preserve"> implications </w:t>
      </w:r>
      <w:r w:rsidR="003E6EEC" w:rsidRPr="006023BE">
        <w:t xml:space="preserve">that might suggest </w:t>
      </w:r>
      <w:r w:rsidR="00CA7F08" w:rsidRPr="006023BE">
        <w:t xml:space="preserve">for the general </w:t>
      </w:r>
      <w:r w:rsidR="003E6EEC" w:rsidRPr="006023BE">
        <w:t xml:space="preserve"> project of </w:t>
      </w:r>
      <w:r w:rsidR="00CA7F08" w:rsidRPr="006023BE">
        <w:t xml:space="preserve">seeking peace through constitutional ordering in </w:t>
      </w:r>
      <w:r w:rsidR="003E6EEC" w:rsidRPr="006023BE">
        <w:t xml:space="preserve">that particular </w:t>
      </w:r>
      <w:r w:rsidR="00CA7F08" w:rsidRPr="006023BE">
        <w:t>“highly divided societ</w:t>
      </w:r>
      <w:r w:rsidR="003E6EEC" w:rsidRPr="006023BE">
        <w:t>y</w:t>
      </w:r>
      <w:r w:rsidR="00CA7F08" w:rsidRPr="006023BE">
        <w:t>”</w:t>
      </w:r>
      <w:r w:rsidR="003E6EEC" w:rsidRPr="006023BE">
        <w:t>?</w:t>
      </w:r>
      <w:r w:rsidR="00CA7F08" w:rsidRPr="006023BE">
        <w:t xml:space="preserve">  </w:t>
      </w:r>
      <w:r w:rsidR="0066558C" w:rsidRPr="006023BE">
        <w:t xml:space="preserve">  </w:t>
      </w:r>
      <w:r w:rsidR="0066558C" w:rsidRPr="006023BE">
        <w:rPr>
          <w:i/>
        </w:rPr>
        <w:t xml:space="preserve"> </w:t>
      </w:r>
    </w:p>
    <w:p w14:paraId="5413F7F1" w14:textId="77777777" w:rsidR="00F51148" w:rsidRPr="006023BE" w:rsidRDefault="00F51148" w:rsidP="00DC4CB9">
      <w:pPr>
        <w:spacing w:after="240" w:line="480" w:lineRule="auto"/>
        <w:ind w:firstLine="720"/>
        <w:rPr>
          <w:rFonts w:ascii="Times New Roman" w:hAnsi="Times New Roman" w:cs="Times New Roman"/>
          <w:sz w:val="24"/>
          <w:szCs w:val="24"/>
        </w:rPr>
      </w:pPr>
    </w:p>
    <w:sectPr w:rsidR="00F51148" w:rsidRPr="006023BE" w:rsidSect="00A3076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1FE638" w14:textId="77777777" w:rsidR="00F0501B" w:rsidRDefault="00F0501B" w:rsidP="0048182E">
      <w:pPr>
        <w:spacing w:after="0" w:line="240" w:lineRule="auto"/>
      </w:pPr>
      <w:r>
        <w:separator/>
      </w:r>
    </w:p>
  </w:endnote>
  <w:endnote w:type="continuationSeparator" w:id="0">
    <w:p w14:paraId="4EB8809E" w14:textId="77777777" w:rsidR="00F0501B" w:rsidRDefault="00F0501B" w:rsidP="004818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59626"/>
      <w:docPartObj>
        <w:docPartGallery w:val="Page Numbers (Bottom of Page)"/>
        <w:docPartUnique/>
      </w:docPartObj>
    </w:sdtPr>
    <w:sdtEndPr/>
    <w:sdtContent>
      <w:p w14:paraId="0BC6D637" w14:textId="77777777" w:rsidR="0066558C" w:rsidRDefault="00D051FE">
        <w:pPr>
          <w:pStyle w:val="Footer"/>
          <w:jc w:val="center"/>
        </w:pPr>
        <w:r>
          <w:fldChar w:fldCharType="begin"/>
        </w:r>
        <w:r>
          <w:instrText xml:space="preserve"> PAGE   \* MERGEFORMAT </w:instrText>
        </w:r>
        <w:r>
          <w:fldChar w:fldCharType="separate"/>
        </w:r>
        <w:r w:rsidR="00830B57">
          <w:rPr>
            <w:noProof/>
          </w:rPr>
          <w:t>12</w:t>
        </w:r>
        <w:r>
          <w:rPr>
            <w:noProof/>
          </w:rPr>
          <w:fldChar w:fldCharType="end"/>
        </w:r>
      </w:p>
    </w:sdtContent>
  </w:sdt>
  <w:p w14:paraId="6614AA95" w14:textId="77777777" w:rsidR="0066558C" w:rsidRDefault="0066558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872585" w14:textId="77777777" w:rsidR="00F0501B" w:rsidRDefault="00F0501B" w:rsidP="0048182E">
      <w:pPr>
        <w:spacing w:after="0" w:line="240" w:lineRule="auto"/>
      </w:pPr>
      <w:r>
        <w:separator/>
      </w:r>
    </w:p>
  </w:footnote>
  <w:footnote w:type="continuationSeparator" w:id="0">
    <w:p w14:paraId="1493462C" w14:textId="77777777" w:rsidR="00F0501B" w:rsidRDefault="00F0501B" w:rsidP="0048182E">
      <w:pPr>
        <w:spacing w:after="0" w:line="240" w:lineRule="auto"/>
      </w:pPr>
      <w:r>
        <w:continuationSeparator/>
      </w:r>
    </w:p>
  </w:footnote>
  <w:footnote w:id="1">
    <w:p w14:paraId="40B6B3B5" w14:textId="77777777" w:rsidR="00DE5167" w:rsidRPr="00B84ECE" w:rsidRDefault="00DE5167">
      <w:pPr>
        <w:pStyle w:val="FootnoteText"/>
        <w:rPr>
          <w:rFonts w:ascii="Times New Roman" w:hAnsi="Times New Roman" w:cs="Times New Roman"/>
          <w:sz w:val="24"/>
          <w:szCs w:val="24"/>
        </w:rPr>
      </w:pPr>
      <w:r w:rsidRPr="00B84ECE">
        <w:rPr>
          <w:rStyle w:val="FootnoteReference"/>
          <w:rFonts w:ascii="Times New Roman" w:hAnsi="Times New Roman" w:cs="Times New Roman"/>
          <w:sz w:val="24"/>
          <w:szCs w:val="24"/>
        </w:rPr>
        <w:footnoteRef/>
      </w:r>
      <w:r w:rsidRPr="00B84ECE">
        <w:rPr>
          <w:rFonts w:ascii="Times New Roman" w:hAnsi="Times New Roman" w:cs="Times New Roman"/>
          <w:sz w:val="24"/>
          <w:szCs w:val="24"/>
        </w:rPr>
        <w:t xml:space="preserve"> W. St. John Garwood and W. St. John Garwood Jr. Centennial Chair in Law, University of Texas Law School; Professor of Government, University of Texas at Austin.   This was originally delivered as a lecture at Touro Law School on Monday, October 10, 2011, just after Yom Kippur.  I am extremely grateful to Professor Samuel Levine and to Dean Lawrence Raful for their invitation to speak and for their hospitality while visiting Touro.    </w:t>
      </w:r>
    </w:p>
  </w:footnote>
  <w:footnote w:id="2">
    <w:p w14:paraId="3C18F14F" w14:textId="6800579E" w:rsidR="00DE5167" w:rsidRPr="00B84ECE" w:rsidRDefault="00DE5167">
      <w:pPr>
        <w:pStyle w:val="FootnoteText"/>
        <w:rPr>
          <w:rFonts w:ascii="Times New Roman" w:hAnsi="Times New Roman" w:cs="Times New Roman"/>
          <w:sz w:val="24"/>
          <w:szCs w:val="24"/>
        </w:rPr>
      </w:pPr>
      <w:r w:rsidRPr="00B84ECE">
        <w:rPr>
          <w:rStyle w:val="FootnoteReference"/>
          <w:rFonts w:ascii="Times New Roman" w:hAnsi="Times New Roman" w:cs="Times New Roman"/>
          <w:sz w:val="24"/>
          <w:szCs w:val="24"/>
        </w:rPr>
        <w:footnoteRef/>
      </w:r>
      <w:r w:rsidRPr="00B84ECE">
        <w:rPr>
          <w:rFonts w:ascii="Times New Roman" w:hAnsi="Times New Roman" w:cs="Times New Roman"/>
          <w:sz w:val="24"/>
          <w:szCs w:val="24"/>
        </w:rPr>
        <w:t xml:space="preserve"> </w:t>
      </w:r>
      <w:r w:rsidR="00EE78DE" w:rsidRPr="00B84ECE">
        <w:rPr>
          <w:rFonts w:ascii="Times New Roman" w:hAnsi="Times New Roman" w:cs="Times New Roman"/>
          <w:sz w:val="24"/>
          <w:szCs w:val="24"/>
        </w:rPr>
        <w:t xml:space="preserve"> Sanford Levinson, CONSTITUTIONAL FAITH (1</w:t>
      </w:r>
      <w:r w:rsidR="00EE78DE" w:rsidRPr="00B84ECE">
        <w:rPr>
          <w:rFonts w:ascii="Times New Roman" w:hAnsi="Times New Roman" w:cs="Times New Roman"/>
          <w:sz w:val="24"/>
          <w:szCs w:val="24"/>
          <w:vertAlign w:val="superscript"/>
        </w:rPr>
        <w:t>st</w:t>
      </w:r>
      <w:r w:rsidR="00EE78DE" w:rsidRPr="00B84ECE">
        <w:rPr>
          <w:rFonts w:ascii="Times New Roman" w:hAnsi="Times New Roman" w:cs="Times New Roman"/>
          <w:sz w:val="24"/>
          <w:szCs w:val="24"/>
        </w:rPr>
        <w:t xml:space="preserve"> ed. 1988, 2d ed. 2011).  </w:t>
      </w:r>
    </w:p>
  </w:footnote>
  <w:footnote w:id="3">
    <w:p w14:paraId="23EE3346" w14:textId="702E289B" w:rsidR="00DE5167" w:rsidRPr="00B84ECE" w:rsidRDefault="00DE5167">
      <w:pPr>
        <w:pStyle w:val="FootnoteText"/>
        <w:rPr>
          <w:rFonts w:ascii="Times New Roman" w:hAnsi="Times New Roman" w:cs="Times New Roman"/>
          <w:sz w:val="24"/>
          <w:szCs w:val="24"/>
        </w:rPr>
      </w:pPr>
      <w:r w:rsidRPr="00B84ECE">
        <w:rPr>
          <w:rStyle w:val="FootnoteReference"/>
          <w:rFonts w:ascii="Times New Roman" w:hAnsi="Times New Roman" w:cs="Times New Roman"/>
          <w:sz w:val="24"/>
          <w:szCs w:val="24"/>
        </w:rPr>
        <w:footnoteRef/>
      </w:r>
      <w:r w:rsidRPr="00B84ECE">
        <w:rPr>
          <w:rFonts w:ascii="Times New Roman" w:hAnsi="Times New Roman" w:cs="Times New Roman"/>
          <w:sz w:val="24"/>
          <w:szCs w:val="24"/>
        </w:rPr>
        <w:t xml:space="preserve"> </w:t>
      </w:r>
      <w:r w:rsidR="00EE78DE" w:rsidRPr="00B84ECE">
        <w:rPr>
          <w:rFonts w:ascii="Times New Roman" w:hAnsi="Times New Roman" w:cs="Times New Roman"/>
          <w:sz w:val="24"/>
          <w:szCs w:val="24"/>
        </w:rPr>
        <w:t xml:space="preserve">Id. 27-53.  </w:t>
      </w:r>
    </w:p>
  </w:footnote>
  <w:footnote w:id="4">
    <w:p w14:paraId="07991535" w14:textId="5338A08C" w:rsidR="00DE5167" w:rsidRPr="00B84ECE" w:rsidRDefault="00DE5167">
      <w:pPr>
        <w:pStyle w:val="FootnoteText"/>
        <w:rPr>
          <w:rFonts w:ascii="Times New Roman" w:hAnsi="Times New Roman" w:cs="Times New Roman"/>
          <w:sz w:val="24"/>
          <w:szCs w:val="24"/>
        </w:rPr>
      </w:pPr>
      <w:r w:rsidRPr="00B84ECE">
        <w:rPr>
          <w:rStyle w:val="FootnoteReference"/>
          <w:rFonts w:ascii="Times New Roman" w:hAnsi="Times New Roman" w:cs="Times New Roman"/>
          <w:sz w:val="24"/>
          <w:szCs w:val="24"/>
        </w:rPr>
        <w:footnoteRef/>
      </w:r>
      <w:r w:rsidRPr="00B84ECE">
        <w:rPr>
          <w:rFonts w:ascii="Times New Roman" w:hAnsi="Times New Roman" w:cs="Times New Roman"/>
          <w:sz w:val="24"/>
          <w:szCs w:val="24"/>
        </w:rPr>
        <w:t xml:space="preserve"> </w:t>
      </w:r>
      <w:r w:rsidR="00EE78DE" w:rsidRPr="00B84ECE">
        <w:rPr>
          <w:rFonts w:ascii="Times New Roman" w:hAnsi="Times New Roman" w:cs="Times New Roman"/>
          <w:sz w:val="24"/>
          <w:szCs w:val="24"/>
        </w:rPr>
        <w:t>Id. at 25.</w:t>
      </w:r>
    </w:p>
  </w:footnote>
  <w:footnote w:id="5">
    <w:p w14:paraId="2AC3D0D0" w14:textId="173A1E2C" w:rsidR="00DE5167" w:rsidRPr="00B84ECE" w:rsidRDefault="00DE5167">
      <w:pPr>
        <w:pStyle w:val="FootnoteText"/>
        <w:rPr>
          <w:rFonts w:ascii="Times New Roman" w:hAnsi="Times New Roman" w:cs="Times New Roman"/>
          <w:sz w:val="24"/>
          <w:szCs w:val="24"/>
        </w:rPr>
      </w:pPr>
      <w:r w:rsidRPr="00B84ECE">
        <w:rPr>
          <w:rStyle w:val="FootnoteReference"/>
          <w:rFonts w:ascii="Times New Roman" w:hAnsi="Times New Roman" w:cs="Times New Roman"/>
          <w:sz w:val="24"/>
          <w:szCs w:val="24"/>
        </w:rPr>
        <w:footnoteRef/>
      </w:r>
      <w:r w:rsidRPr="00B84ECE">
        <w:rPr>
          <w:rFonts w:ascii="Times New Roman" w:hAnsi="Times New Roman" w:cs="Times New Roman"/>
          <w:sz w:val="24"/>
          <w:szCs w:val="24"/>
        </w:rPr>
        <w:t xml:space="preserve"> </w:t>
      </w:r>
      <w:hyperlink r:id="rId1" w:history="1">
        <w:r w:rsidR="00EE78DE" w:rsidRPr="00B84ECE">
          <w:rPr>
            <w:rStyle w:val="Hyperlink"/>
            <w:rFonts w:ascii="Times New Roman" w:hAnsi="Times New Roman" w:cs="Times New Roman"/>
            <w:sz w:val="24"/>
            <w:szCs w:val="24"/>
          </w:rPr>
          <w:t>http://www.come-and-hear.com/babamezia/babamezia_59.html</w:t>
        </w:r>
      </w:hyperlink>
      <w:r w:rsidR="00EE78DE" w:rsidRPr="00B84ECE">
        <w:rPr>
          <w:rFonts w:ascii="Times New Roman" w:hAnsi="Times New Roman" w:cs="Times New Roman"/>
          <w:sz w:val="24"/>
          <w:szCs w:val="24"/>
        </w:rPr>
        <w:t xml:space="preserve">  This debate, about the so-called “ovens of Akhnai,” contains a famous series of rejections of the interventions from heaven in favor of the authority of the rabbis below.  </w:t>
      </w:r>
    </w:p>
  </w:footnote>
  <w:footnote w:id="6">
    <w:p w14:paraId="52AE5590" w14:textId="77777777" w:rsidR="008837A6" w:rsidRPr="00B84ECE" w:rsidRDefault="008837A6" w:rsidP="008837A6">
      <w:pPr>
        <w:tabs>
          <w:tab w:val="left" w:pos="576"/>
          <w:tab w:val="left" w:pos="1296"/>
          <w:tab w:val="left" w:pos="1584"/>
          <w:tab w:val="left" w:pos="2340"/>
          <w:tab w:val="left" w:pos="3510"/>
          <w:tab w:val="left" w:pos="6480"/>
        </w:tabs>
        <w:spacing w:line="240" w:lineRule="atLeast"/>
        <w:rPr>
          <w:rFonts w:ascii="Times New Roman" w:hAnsi="Times New Roman" w:cs="Times New Roman"/>
          <w:sz w:val="24"/>
          <w:szCs w:val="24"/>
        </w:rPr>
      </w:pPr>
      <w:r w:rsidRPr="00B84ECE">
        <w:rPr>
          <w:rStyle w:val="FootnoteReference"/>
          <w:rFonts w:ascii="Times New Roman" w:hAnsi="Times New Roman" w:cs="Times New Roman"/>
          <w:sz w:val="24"/>
          <w:szCs w:val="24"/>
        </w:rPr>
        <w:footnoteRef/>
      </w:r>
      <w:r w:rsidRPr="00B84ECE">
        <w:rPr>
          <w:rFonts w:ascii="Times New Roman" w:hAnsi="Times New Roman" w:cs="Times New Roman"/>
          <w:sz w:val="24"/>
          <w:szCs w:val="24"/>
        </w:rPr>
        <w:t xml:space="preserve"> </w:t>
      </w:r>
      <w:r w:rsidRPr="00B84ECE">
        <w:rPr>
          <w:rFonts w:ascii="Times New Roman" w:hAnsi="Times New Roman" w:cs="Times New Roman"/>
          <w:i/>
          <w:sz w:val="24"/>
          <w:szCs w:val="24"/>
        </w:rPr>
        <w:t>Identifying the Jewish Lawyer: Reflections on Professional Identity,</w:t>
      </w:r>
      <w:r w:rsidRPr="00B84ECE">
        <w:rPr>
          <w:rFonts w:ascii="Times New Roman" w:hAnsi="Times New Roman" w:cs="Times New Roman"/>
          <w:sz w:val="24"/>
          <w:szCs w:val="24"/>
        </w:rPr>
        <w:t xml:space="preserve"> 14 CARDOZO L. REV. 1577 (1993), reprinted in WRESTLING WITH DIVERSITY 124-162 (2003)</w:t>
      </w:r>
    </w:p>
    <w:p w14:paraId="05154544" w14:textId="77777777" w:rsidR="008837A6" w:rsidRPr="00B84ECE" w:rsidRDefault="008837A6">
      <w:pPr>
        <w:pStyle w:val="FootnoteText"/>
        <w:rPr>
          <w:rFonts w:ascii="Times New Roman" w:hAnsi="Times New Roman" w:cs="Times New Roman"/>
          <w:sz w:val="24"/>
          <w:szCs w:val="24"/>
        </w:rPr>
      </w:pPr>
    </w:p>
  </w:footnote>
  <w:footnote w:id="7">
    <w:p w14:paraId="1C0EEDEA" w14:textId="77777777" w:rsidR="008837A6" w:rsidRPr="00B84ECE" w:rsidRDefault="008837A6" w:rsidP="008837A6">
      <w:pPr>
        <w:tabs>
          <w:tab w:val="left" w:pos="576"/>
          <w:tab w:val="left" w:pos="1296"/>
          <w:tab w:val="left" w:pos="1584"/>
          <w:tab w:val="left" w:pos="2340"/>
          <w:tab w:val="left" w:pos="3510"/>
          <w:tab w:val="left" w:pos="6480"/>
        </w:tabs>
        <w:spacing w:line="240" w:lineRule="atLeast"/>
        <w:rPr>
          <w:rFonts w:ascii="Times New Roman" w:hAnsi="Times New Roman" w:cs="Times New Roman"/>
          <w:sz w:val="24"/>
          <w:szCs w:val="24"/>
        </w:rPr>
      </w:pPr>
      <w:r w:rsidRPr="00B84ECE">
        <w:rPr>
          <w:rStyle w:val="FootnoteReference"/>
          <w:rFonts w:ascii="Times New Roman" w:hAnsi="Times New Roman" w:cs="Times New Roman"/>
          <w:sz w:val="24"/>
          <w:szCs w:val="24"/>
        </w:rPr>
        <w:footnoteRef/>
      </w:r>
      <w:r w:rsidRPr="00B84ECE">
        <w:rPr>
          <w:rFonts w:ascii="Times New Roman" w:hAnsi="Times New Roman" w:cs="Times New Roman"/>
          <w:sz w:val="24"/>
          <w:szCs w:val="24"/>
        </w:rPr>
        <w:t xml:space="preserve"> Sanford Levinson, </w:t>
      </w:r>
      <w:r w:rsidRPr="00B84ECE">
        <w:rPr>
          <w:rFonts w:ascii="Times New Roman" w:hAnsi="Times New Roman" w:cs="Times New Roman"/>
          <w:i/>
          <w:sz w:val="24"/>
          <w:szCs w:val="24"/>
        </w:rPr>
        <w:t>Who Is a Jew(ish Justice)?</w:t>
      </w:r>
      <w:r w:rsidRPr="00B84ECE">
        <w:rPr>
          <w:rFonts w:ascii="Times New Roman" w:hAnsi="Times New Roman" w:cs="Times New Roman"/>
          <w:sz w:val="24"/>
          <w:szCs w:val="24"/>
        </w:rPr>
        <w:t xml:space="preserve"> 10 CARDOZO L. REV. 2359 (1989)</w:t>
      </w:r>
    </w:p>
    <w:p w14:paraId="03C9E3EE" w14:textId="77777777" w:rsidR="008837A6" w:rsidRPr="00B84ECE" w:rsidRDefault="008837A6">
      <w:pPr>
        <w:pStyle w:val="FootnoteText"/>
        <w:rPr>
          <w:rFonts w:ascii="Times New Roman" w:hAnsi="Times New Roman" w:cs="Times New Roman"/>
          <w:sz w:val="24"/>
          <w:szCs w:val="24"/>
        </w:rPr>
      </w:pPr>
    </w:p>
  </w:footnote>
  <w:footnote w:id="8">
    <w:p w14:paraId="7339E498" w14:textId="63162BF9" w:rsidR="00DE5167" w:rsidRPr="00B84ECE" w:rsidRDefault="00DE5167">
      <w:pPr>
        <w:pStyle w:val="FootnoteText"/>
        <w:rPr>
          <w:rFonts w:ascii="Times New Roman" w:hAnsi="Times New Roman" w:cs="Times New Roman"/>
          <w:sz w:val="24"/>
          <w:szCs w:val="24"/>
        </w:rPr>
      </w:pPr>
      <w:r w:rsidRPr="00B84ECE">
        <w:rPr>
          <w:rStyle w:val="FootnoteReference"/>
          <w:rFonts w:ascii="Times New Roman" w:hAnsi="Times New Roman" w:cs="Times New Roman"/>
          <w:sz w:val="24"/>
          <w:szCs w:val="24"/>
        </w:rPr>
        <w:footnoteRef/>
      </w:r>
      <w:r w:rsidRPr="00B84ECE">
        <w:rPr>
          <w:rFonts w:ascii="Times New Roman" w:hAnsi="Times New Roman" w:cs="Times New Roman"/>
          <w:sz w:val="24"/>
          <w:szCs w:val="24"/>
        </w:rPr>
        <w:t xml:space="preserve"> </w:t>
      </w:r>
      <w:r w:rsidR="005D2BF0" w:rsidRPr="00B84ECE">
        <w:rPr>
          <w:rFonts w:ascii="Times New Roman" w:hAnsi="Times New Roman" w:cs="Times New Roman"/>
          <w:sz w:val="24"/>
          <w:szCs w:val="24"/>
        </w:rPr>
        <w:t xml:space="preserve">Supra n. 6,  at pp. 126-130.  </w:t>
      </w:r>
    </w:p>
  </w:footnote>
  <w:footnote w:id="9">
    <w:p w14:paraId="16FE608A" w14:textId="77777777" w:rsidR="0066558C" w:rsidRPr="00B84ECE" w:rsidRDefault="0066558C">
      <w:pPr>
        <w:pStyle w:val="FootnoteText"/>
        <w:rPr>
          <w:rFonts w:ascii="Times New Roman" w:hAnsi="Times New Roman" w:cs="Times New Roman"/>
          <w:sz w:val="24"/>
          <w:szCs w:val="24"/>
        </w:rPr>
      </w:pPr>
      <w:r w:rsidRPr="00B84ECE">
        <w:rPr>
          <w:rStyle w:val="FootnoteReference"/>
          <w:rFonts w:ascii="Times New Roman" w:hAnsi="Times New Roman" w:cs="Times New Roman"/>
          <w:sz w:val="24"/>
          <w:szCs w:val="24"/>
        </w:rPr>
        <w:footnoteRef/>
      </w:r>
      <w:r w:rsidRPr="00B84ECE">
        <w:rPr>
          <w:rFonts w:ascii="Times New Roman" w:hAnsi="Times New Roman" w:cs="Times New Roman"/>
          <w:sz w:val="24"/>
          <w:szCs w:val="24"/>
        </w:rPr>
        <w:t xml:space="preserve"> See, for some interesting commentary, http://www.kolel.org/pages/5763/vayera.html</w:t>
      </w:r>
    </w:p>
  </w:footnote>
  <w:footnote w:id="10">
    <w:p w14:paraId="37CA3E8A" w14:textId="77777777" w:rsidR="001D49B1" w:rsidRPr="00B84ECE" w:rsidRDefault="001D49B1">
      <w:pPr>
        <w:pStyle w:val="FootnoteText"/>
        <w:rPr>
          <w:rFonts w:ascii="Times New Roman" w:hAnsi="Times New Roman" w:cs="Times New Roman"/>
          <w:sz w:val="24"/>
          <w:szCs w:val="24"/>
        </w:rPr>
      </w:pPr>
      <w:r w:rsidRPr="00B84ECE">
        <w:rPr>
          <w:rStyle w:val="FootnoteReference"/>
          <w:rFonts w:ascii="Times New Roman" w:hAnsi="Times New Roman" w:cs="Times New Roman"/>
          <w:sz w:val="24"/>
          <w:szCs w:val="24"/>
        </w:rPr>
        <w:footnoteRef/>
      </w:r>
      <w:r w:rsidRPr="00B84ECE">
        <w:rPr>
          <w:rFonts w:ascii="Times New Roman" w:hAnsi="Times New Roman" w:cs="Times New Roman"/>
          <w:sz w:val="24"/>
          <w:szCs w:val="24"/>
        </w:rPr>
        <w:t xml:space="preserve"> 17 U.S. (4 Wheat.) 316 (1819).</w:t>
      </w:r>
    </w:p>
  </w:footnote>
  <w:footnote w:id="11">
    <w:p w14:paraId="64CDF4A5" w14:textId="77777777" w:rsidR="001D49B1" w:rsidRPr="00B84ECE" w:rsidRDefault="001D49B1">
      <w:pPr>
        <w:pStyle w:val="FootnoteText"/>
        <w:rPr>
          <w:rFonts w:ascii="Times New Roman" w:hAnsi="Times New Roman" w:cs="Times New Roman"/>
          <w:sz w:val="24"/>
          <w:szCs w:val="24"/>
        </w:rPr>
      </w:pPr>
      <w:r w:rsidRPr="00B84ECE">
        <w:rPr>
          <w:rStyle w:val="FootnoteReference"/>
          <w:rFonts w:ascii="Times New Roman" w:hAnsi="Times New Roman" w:cs="Times New Roman"/>
          <w:sz w:val="24"/>
          <w:szCs w:val="24"/>
        </w:rPr>
        <w:footnoteRef/>
      </w:r>
      <w:r w:rsidRPr="00B84ECE">
        <w:rPr>
          <w:rFonts w:ascii="Times New Roman" w:hAnsi="Times New Roman" w:cs="Times New Roman"/>
          <w:sz w:val="24"/>
          <w:szCs w:val="24"/>
        </w:rPr>
        <w:t xml:space="preserve"> 10 U.S. (6 Cranch) 87 (1810).</w:t>
      </w:r>
    </w:p>
  </w:footnote>
  <w:footnote w:id="12">
    <w:p w14:paraId="4C2F46D7" w14:textId="4C129A70" w:rsidR="00DE5167" w:rsidRPr="00B84ECE" w:rsidRDefault="00DE5167">
      <w:pPr>
        <w:pStyle w:val="FootnoteText"/>
        <w:rPr>
          <w:rFonts w:ascii="Times New Roman" w:hAnsi="Times New Roman" w:cs="Times New Roman"/>
          <w:sz w:val="24"/>
          <w:szCs w:val="24"/>
        </w:rPr>
      </w:pPr>
      <w:r w:rsidRPr="00B84ECE">
        <w:rPr>
          <w:rStyle w:val="FootnoteReference"/>
          <w:rFonts w:ascii="Times New Roman" w:hAnsi="Times New Roman" w:cs="Times New Roman"/>
          <w:sz w:val="24"/>
          <w:szCs w:val="24"/>
        </w:rPr>
        <w:footnoteRef/>
      </w:r>
      <w:r w:rsidRPr="00B84ECE">
        <w:rPr>
          <w:rFonts w:ascii="Times New Roman" w:hAnsi="Times New Roman" w:cs="Times New Roman"/>
          <w:sz w:val="24"/>
          <w:szCs w:val="24"/>
        </w:rPr>
        <w:t xml:space="preserve"> </w:t>
      </w:r>
      <w:r w:rsidR="000A006E" w:rsidRPr="00B84ECE">
        <w:rPr>
          <w:rFonts w:ascii="Times New Roman" w:hAnsi="Times New Roman" w:cs="Times New Roman"/>
          <w:sz w:val="24"/>
          <w:szCs w:val="24"/>
        </w:rPr>
        <w:t>17 U.S. (4 Wheat.) 316</w:t>
      </w:r>
      <w:r w:rsidR="000A006E" w:rsidRPr="00B84ECE">
        <w:rPr>
          <w:rFonts w:ascii="Times New Roman" w:hAnsi="Times New Roman" w:cs="Times New Roman"/>
          <w:sz w:val="24"/>
          <w:szCs w:val="24"/>
        </w:rPr>
        <w:t xml:space="preserve">, at </w:t>
      </w:r>
      <w:r w:rsidR="000A006E" w:rsidRPr="00B84ECE">
        <w:rPr>
          <w:rFonts w:ascii="Times New Roman" w:hAnsi="Times New Roman" w:cs="Times New Roman"/>
          <w:sz w:val="24"/>
          <w:szCs w:val="24"/>
        </w:rPr>
        <w:t xml:space="preserve"> </w:t>
      </w:r>
      <w:r w:rsidR="000A006E" w:rsidRPr="00B84ECE">
        <w:rPr>
          <w:rFonts w:ascii="Times New Roman" w:hAnsi="Times New Roman" w:cs="Times New Roman"/>
          <w:sz w:val="24"/>
          <w:szCs w:val="24"/>
        </w:rPr>
        <w:t xml:space="preserve">401 </w:t>
      </w:r>
      <w:r w:rsidR="000A006E" w:rsidRPr="00B84ECE">
        <w:rPr>
          <w:rFonts w:ascii="Times New Roman" w:hAnsi="Times New Roman" w:cs="Times New Roman"/>
          <w:sz w:val="24"/>
          <w:szCs w:val="24"/>
        </w:rPr>
        <w:t>(1819).</w:t>
      </w:r>
    </w:p>
  </w:footnote>
  <w:footnote w:id="13">
    <w:p w14:paraId="32BD49E9" w14:textId="4C26EDA5" w:rsidR="000A006E" w:rsidRPr="00B84ECE" w:rsidRDefault="000A006E">
      <w:pPr>
        <w:pStyle w:val="FootnoteText"/>
        <w:rPr>
          <w:rFonts w:ascii="Times New Roman" w:hAnsi="Times New Roman" w:cs="Times New Roman"/>
          <w:sz w:val="24"/>
          <w:szCs w:val="24"/>
        </w:rPr>
      </w:pPr>
      <w:r w:rsidRPr="00B84ECE">
        <w:rPr>
          <w:rStyle w:val="FootnoteReference"/>
          <w:rFonts w:ascii="Times New Roman" w:hAnsi="Times New Roman" w:cs="Times New Roman"/>
          <w:sz w:val="24"/>
          <w:szCs w:val="24"/>
        </w:rPr>
        <w:footnoteRef/>
      </w:r>
      <w:r w:rsidRPr="00B84ECE">
        <w:rPr>
          <w:rFonts w:ascii="Times New Roman" w:hAnsi="Times New Roman" w:cs="Times New Roman"/>
          <w:sz w:val="24"/>
          <w:szCs w:val="24"/>
        </w:rPr>
        <w:t xml:space="preserve"> “</w:t>
      </w:r>
      <w:r w:rsidRPr="00B84ECE">
        <w:rPr>
          <w:rFonts w:ascii="Times New Roman" w:hAnsi="Times New Roman" w:cs="Times New Roman"/>
          <w:color w:val="000000"/>
          <w:sz w:val="24"/>
          <w:szCs w:val="24"/>
        </w:rPr>
        <w:t>There is no express provision for the case, but the claim has been sustained on a principle which so entirely pervades the Constitution, is so intermixed with the materials which compose it, so interwoven with its web, so blended with its texture, as to be incapable of being separated from it without rending it into shreds.</w:t>
      </w:r>
      <w:r w:rsidRPr="00B84ECE">
        <w:rPr>
          <w:rFonts w:ascii="Times New Roman" w:hAnsi="Times New Roman" w:cs="Times New Roman"/>
          <w:color w:val="000000"/>
          <w:sz w:val="24"/>
          <w:szCs w:val="24"/>
        </w:rPr>
        <w:t>” Id, at 425.</w:t>
      </w:r>
    </w:p>
  </w:footnote>
  <w:footnote w:id="14">
    <w:p w14:paraId="4CBD8B55" w14:textId="66A285DE" w:rsidR="00DE5167" w:rsidRPr="00B84ECE" w:rsidRDefault="00DE5167">
      <w:pPr>
        <w:pStyle w:val="FootnoteText"/>
        <w:rPr>
          <w:rFonts w:ascii="Times New Roman" w:hAnsi="Times New Roman" w:cs="Times New Roman"/>
          <w:sz w:val="24"/>
          <w:szCs w:val="24"/>
        </w:rPr>
      </w:pPr>
      <w:r w:rsidRPr="00B84ECE">
        <w:rPr>
          <w:rStyle w:val="FootnoteReference"/>
          <w:rFonts w:ascii="Times New Roman" w:hAnsi="Times New Roman" w:cs="Times New Roman"/>
          <w:sz w:val="24"/>
          <w:szCs w:val="24"/>
        </w:rPr>
        <w:footnoteRef/>
      </w:r>
      <w:r w:rsidRPr="00B84ECE">
        <w:rPr>
          <w:rFonts w:ascii="Times New Roman" w:hAnsi="Times New Roman" w:cs="Times New Roman"/>
          <w:sz w:val="24"/>
          <w:szCs w:val="24"/>
        </w:rPr>
        <w:t xml:space="preserve"> </w:t>
      </w:r>
      <w:r w:rsidR="000A006E" w:rsidRPr="00B84ECE">
        <w:rPr>
          <w:rFonts w:ascii="Times New Roman" w:hAnsi="Times New Roman" w:cs="Times New Roman"/>
          <w:color w:val="000000"/>
          <w:sz w:val="24"/>
          <w:szCs w:val="24"/>
        </w:rPr>
        <w:t> </w:t>
      </w:r>
      <w:r w:rsidR="000A006E" w:rsidRPr="00B84ECE">
        <w:rPr>
          <w:rFonts w:ascii="Times New Roman" w:hAnsi="Times New Roman" w:cs="Times New Roman"/>
          <w:color w:val="000000"/>
          <w:sz w:val="24"/>
          <w:szCs w:val="24"/>
        </w:rPr>
        <w:t>Justice Thomas, writing for the Supreme Court, has recently declared that “[d]</w:t>
      </w:r>
      <w:r w:rsidR="000A006E" w:rsidRPr="00B84ECE">
        <w:rPr>
          <w:rFonts w:ascii="Times New Roman" w:hAnsi="Times New Roman" w:cs="Times New Roman"/>
          <w:color w:val="000000"/>
          <w:sz w:val="24"/>
          <w:szCs w:val="24"/>
        </w:rPr>
        <w:t>ual sovereignty is a defining feature of our Nation’s constitutional blueprint.</w:t>
      </w:r>
      <w:r w:rsidR="000A006E" w:rsidRPr="00B84ECE">
        <w:rPr>
          <w:rFonts w:ascii="Times New Roman" w:hAnsi="Times New Roman" w:cs="Times New Roman"/>
          <w:color w:val="000000"/>
          <w:sz w:val="24"/>
          <w:szCs w:val="24"/>
        </w:rPr>
        <w:t xml:space="preserve">” </w:t>
      </w:r>
      <w:r w:rsidR="001C0DFE" w:rsidRPr="00B84ECE">
        <w:rPr>
          <w:rFonts w:ascii="Times New Roman" w:hAnsi="Times New Roman" w:cs="Times New Roman"/>
          <w:i/>
          <w:color w:val="000000"/>
          <w:sz w:val="24"/>
          <w:szCs w:val="24"/>
        </w:rPr>
        <w:t xml:space="preserve">Federal Maritime Comm’n v. South Carolina State Ports Authority </w:t>
      </w:r>
      <w:r w:rsidR="000A006E" w:rsidRPr="00B84ECE">
        <w:rPr>
          <w:rFonts w:ascii="Times New Roman" w:hAnsi="Times New Roman" w:cs="Times New Roman"/>
          <w:color w:val="000000"/>
          <w:sz w:val="24"/>
          <w:szCs w:val="24"/>
        </w:rPr>
        <w:t xml:space="preserve"> </w:t>
      </w:r>
      <w:r w:rsidR="001C0DFE" w:rsidRPr="00B84ECE">
        <w:rPr>
          <w:rFonts w:ascii="Times New Roman" w:hAnsi="Times New Roman" w:cs="Times New Roman"/>
          <w:color w:val="000000"/>
          <w:sz w:val="24"/>
          <w:szCs w:val="24"/>
        </w:rPr>
        <w:t xml:space="preserve">535 U.S. 743, __ (2002), citing </w:t>
      </w:r>
      <w:r w:rsidR="000A006E" w:rsidRPr="00B84ECE">
        <w:rPr>
          <w:rFonts w:ascii="Times New Roman" w:hAnsi="Times New Roman" w:cs="Times New Roman"/>
          <w:i/>
          <w:iCs/>
          <w:color w:val="000000"/>
          <w:sz w:val="24"/>
          <w:szCs w:val="24"/>
        </w:rPr>
        <w:t>Gregory</w:t>
      </w:r>
      <w:r w:rsidR="000A006E" w:rsidRPr="00B84ECE">
        <w:rPr>
          <w:rFonts w:ascii="Times New Roman" w:hAnsi="Times New Roman" w:cs="Times New Roman"/>
          <w:color w:val="000000"/>
          <w:sz w:val="24"/>
          <w:szCs w:val="24"/>
        </w:rPr>
        <w:t xml:space="preserve"> v. </w:t>
      </w:r>
      <w:r w:rsidR="000A006E" w:rsidRPr="00B84ECE">
        <w:rPr>
          <w:rFonts w:ascii="Times New Roman" w:hAnsi="Times New Roman" w:cs="Times New Roman"/>
          <w:i/>
          <w:iCs/>
          <w:color w:val="000000"/>
          <w:sz w:val="24"/>
          <w:szCs w:val="24"/>
        </w:rPr>
        <w:t>Ashcroft</w:t>
      </w:r>
      <w:r w:rsidR="000A006E" w:rsidRPr="00B84ECE">
        <w:rPr>
          <w:rFonts w:ascii="Times New Roman" w:hAnsi="Times New Roman" w:cs="Times New Roman"/>
          <w:color w:val="000000"/>
          <w:sz w:val="24"/>
          <w:szCs w:val="24"/>
        </w:rPr>
        <w:t xml:space="preserve">, </w:t>
      </w:r>
      <w:hyperlink r:id="rId2" w:history="1">
        <w:r w:rsidR="000A006E" w:rsidRPr="00B84ECE">
          <w:rPr>
            <w:rFonts w:ascii="Times New Roman" w:hAnsi="Times New Roman" w:cs="Times New Roman"/>
            <w:color w:val="005C72"/>
            <w:sz w:val="24"/>
            <w:szCs w:val="24"/>
            <w:u w:val="single"/>
          </w:rPr>
          <w:t>501 U</w:t>
        </w:r>
        <w:r w:rsidR="000A006E" w:rsidRPr="00B84ECE">
          <w:rPr>
            <w:rFonts w:ascii="Times New Roman" w:hAnsi="Times New Roman" w:cs="Times New Roman"/>
            <w:color w:val="005C72"/>
            <w:sz w:val="24"/>
            <w:szCs w:val="24"/>
            <w:u w:val="single"/>
          </w:rPr>
          <w:t>.</w:t>
        </w:r>
        <w:r w:rsidR="000A006E" w:rsidRPr="00B84ECE">
          <w:rPr>
            <w:rFonts w:ascii="Times New Roman" w:hAnsi="Times New Roman" w:cs="Times New Roman"/>
            <w:color w:val="005C72"/>
            <w:sz w:val="24"/>
            <w:szCs w:val="24"/>
            <w:u w:val="single"/>
          </w:rPr>
          <w:t>S. 452</w:t>
        </w:r>
      </w:hyperlink>
      <w:r w:rsidR="000A006E" w:rsidRPr="00B84ECE">
        <w:rPr>
          <w:rFonts w:ascii="Times New Roman" w:hAnsi="Times New Roman" w:cs="Times New Roman"/>
          <w:color w:val="000000"/>
          <w:sz w:val="24"/>
          <w:szCs w:val="24"/>
        </w:rPr>
        <w:t>, 457 (1991).</w:t>
      </w:r>
    </w:p>
  </w:footnote>
  <w:footnote w:id="15">
    <w:p w14:paraId="1F3BDFCB" w14:textId="080BD551" w:rsidR="001C0DFE" w:rsidRPr="00B84ECE" w:rsidRDefault="001C0DFE">
      <w:pPr>
        <w:pStyle w:val="FootnoteText"/>
        <w:rPr>
          <w:rFonts w:ascii="Times New Roman" w:hAnsi="Times New Roman" w:cs="Times New Roman"/>
          <w:sz w:val="24"/>
          <w:szCs w:val="24"/>
        </w:rPr>
      </w:pPr>
      <w:r w:rsidRPr="00B84ECE">
        <w:rPr>
          <w:rStyle w:val="FootnoteReference"/>
          <w:rFonts w:ascii="Times New Roman" w:hAnsi="Times New Roman" w:cs="Times New Roman"/>
          <w:sz w:val="24"/>
          <w:szCs w:val="24"/>
        </w:rPr>
        <w:footnoteRef/>
      </w:r>
      <w:r w:rsidRPr="00B84ECE">
        <w:rPr>
          <w:rFonts w:ascii="Times New Roman" w:hAnsi="Times New Roman" w:cs="Times New Roman"/>
          <w:sz w:val="24"/>
          <w:szCs w:val="24"/>
        </w:rPr>
        <w:t xml:space="preserve"> See, e.g., Jean Bethke Elshtain, SOVEREIGNTY:  GOD, STATE, AND SELF (2009) for an elegant treatment of the issues posed by the concept of sovereignty.  </w:t>
      </w:r>
    </w:p>
  </w:footnote>
  <w:footnote w:id="16">
    <w:p w14:paraId="3A0114AB" w14:textId="77777777" w:rsidR="001C0DFE" w:rsidRPr="00B84ECE" w:rsidRDefault="00DE5167" w:rsidP="001C0DFE">
      <w:pPr>
        <w:pStyle w:val="FootnoteText"/>
        <w:rPr>
          <w:rFonts w:ascii="Times New Roman" w:hAnsi="Times New Roman" w:cs="Times New Roman"/>
          <w:sz w:val="24"/>
          <w:szCs w:val="24"/>
        </w:rPr>
      </w:pPr>
      <w:r w:rsidRPr="00B84ECE">
        <w:rPr>
          <w:rStyle w:val="FootnoteReference"/>
          <w:rFonts w:ascii="Times New Roman" w:hAnsi="Times New Roman" w:cs="Times New Roman"/>
          <w:sz w:val="24"/>
          <w:szCs w:val="24"/>
        </w:rPr>
        <w:footnoteRef/>
      </w:r>
      <w:r w:rsidRPr="00B84ECE">
        <w:rPr>
          <w:rFonts w:ascii="Times New Roman" w:hAnsi="Times New Roman" w:cs="Times New Roman"/>
          <w:sz w:val="24"/>
          <w:szCs w:val="24"/>
        </w:rPr>
        <w:t xml:space="preserve"> </w:t>
      </w:r>
      <w:r w:rsidR="001C0DFE" w:rsidRPr="00B84ECE">
        <w:rPr>
          <w:rFonts w:ascii="Times New Roman" w:hAnsi="Times New Roman" w:cs="Times New Roman"/>
          <w:sz w:val="24"/>
          <w:szCs w:val="24"/>
        </w:rPr>
        <w:t>10 U.S. (6 Cranch) 87 (1810).</w:t>
      </w:r>
    </w:p>
    <w:p w14:paraId="239B6A26" w14:textId="77777777" w:rsidR="00DE5167" w:rsidRPr="00B84ECE" w:rsidRDefault="00DE5167">
      <w:pPr>
        <w:pStyle w:val="FootnoteText"/>
        <w:rPr>
          <w:rFonts w:ascii="Times New Roman" w:hAnsi="Times New Roman" w:cs="Times New Roman"/>
          <w:sz w:val="24"/>
          <w:szCs w:val="24"/>
        </w:rPr>
      </w:pPr>
    </w:p>
  </w:footnote>
  <w:footnote w:id="17">
    <w:p w14:paraId="77F4D9D2" w14:textId="3849995B" w:rsidR="00DE5167" w:rsidRPr="00B84ECE" w:rsidRDefault="00DE5167">
      <w:pPr>
        <w:pStyle w:val="FootnoteText"/>
        <w:rPr>
          <w:rFonts w:ascii="Times New Roman" w:hAnsi="Times New Roman" w:cs="Times New Roman"/>
          <w:sz w:val="24"/>
          <w:szCs w:val="24"/>
        </w:rPr>
      </w:pPr>
      <w:r w:rsidRPr="00B84ECE">
        <w:rPr>
          <w:rStyle w:val="FootnoteReference"/>
          <w:rFonts w:ascii="Times New Roman" w:hAnsi="Times New Roman" w:cs="Times New Roman"/>
          <w:sz w:val="24"/>
          <w:szCs w:val="24"/>
        </w:rPr>
        <w:footnoteRef/>
      </w:r>
      <w:r w:rsidRPr="00B84ECE">
        <w:rPr>
          <w:rFonts w:ascii="Times New Roman" w:hAnsi="Times New Roman" w:cs="Times New Roman"/>
          <w:sz w:val="24"/>
          <w:szCs w:val="24"/>
        </w:rPr>
        <w:t xml:space="preserve"> </w:t>
      </w:r>
      <w:r w:rsidR="00186411" w:rsidRPr="00B84ECE">
        <w:rPr>
          <w:rFonts w:ascii="Times New Roman" w:hAnsi="Times New Roman" w:cs="Times New Roman"/>
          <w:sz w:val="24"/>
          <w:szCs w:val="24"/>
        </w:rPr>
        <w:t>Id. at 139.</w:t>
      </w:r>
    </w:p>
  </w:footnote>
  <w:footnote w:id="18">
    <w:p w14:paraId="07553E5C" w14:textId="0400AB73" w:rsidR="00DE5167" w:rsidRPr="00B84ECE" w:rsidRDefault="00DE5167">
      <w:pPr>
        <w:pStyle w:val="FootnoteText"/>
        <w:rPr>
          <w:rFonts w:ascii="Times New Roman" w:hAnsi="Times New Roman" w:cs="Times New Roman"/>
          <w:sz w:val="24"/>
          <w:szCs w:val="24"/>
        </w:rPr>
      </w:pPr>
      <w:r w:rsidRPr="00B84ECE">
        <w:rPr>
          <w:rStyle w:val="FootnoteReference"/>
          <w:rFonts w:ascii="Times New Roman" w:hAnsi="Times New Roman" w:cs="Times New Roman"/>
          <w:sz w:val="24"/>
          <w:szCs w:val="24"/>
        </w:rPr>
        <w:footnoteRef/>
      </w:r>
      <w:r w:rsidRPr="00B84ECE">
        <w:rPr>
          <w:rFonts w:ascii="Times New Roman" w:hAnsi="Times New Roman" w:cs="Times New Roman"/>
          <w:sz w:val="24"/>
          <w:szCs w:val="24"/>
        </w:rPr>
        <w:t xml:space="preserve"> </w:t>
      </w:r>
      <w:r w:rsidR="00186411" w:rsidRPr="00B84ECE">
        <w:rPr>
          <w:rFonts w:ascii="Times New Roman" w:hAnsi="Times New Roman" w:cs="Times New Roman"/>
          <w:sz w:val="24"/>
          <w:szCs w:val="24"/>
        </w:rPr>
        <w:t xml:space="preserve">Id. at 143.  </w:t>
      </w:r>
    </w:p>
  </w:footnote>
  <w:footnote w:id="19">
    <w:p w14:paraId="6C4606A4" w14:textId="5A09D026" w:rsidR="00DE5167" w:rsidRPr="00B84ECE" w:rsidRDefault="00DE5167">
      <w:pPr>
        <w:pStyle w:val="FootnoteText"/>
        <w:rPr>
          <w:rFonts w:ascii="Times New Roman" w:hAnsi="Times New Roman" w:cs="Times New Roman"/>
          <w:sz w:val="24"/>
          <w:szCs w:val="24"/>
        </w:rPr>
      </w:pPr>
      <w:r w:rsidRPr="00B84ECE">
        <w:rPr>
          <w:rStyle w:val="FootnoteReference"/>
          <w:rFonts w:ascii="Times New Roman" w:hAnsi="Times New Roman" w:cs="Times New Roman"/>
          <w:sz w:val="24"/>
          <w:szCs w:val="24"/>
        </w:rPr>
        <w:footnoteRef/>
      </w:r>
      <w:r w:rsidRPr="00B84ECE">
        <w:rPr>
          <w:rFonts w:ascii="Times New Roman" w:hAnsi="Times New Roman" w:cs="Times New Roman"/>
          <w:sz w:val="24"/>
          <w:szCs w:val="24"/>
        </w:rPr>
        <w:t xml:space="preserve"> </w:t>
      </w:r>
      <w:r w:rsidR="00186411" w:rsidRPr="00B84ECE">
        <w:rPr>
          <w:rFonts w:ascii="Times New Roman" w:hAnsi="Times New Roman" w:cs="Times New Roman"/>
          <w:sz w:val="24"/>
          <w:szCs w:val="24"/>
        </w:rPr>
        <w:t xml:space="preserve">See Plato, EUTHYFRO, available at </w:t>
      </w:r>
      <w:hyperlink r:id="rId3" w:history="1">
        <w:r w:rsidR="00186411" w:rsidRPr="00B84ECE">
          <w:rPr>
            <w:rStyle w:val="Hyperlink"/>
            <w:rFonts w:ascii="Times New Roman" w:hAnsi="Times New Roman" w:cs="Times New Roman"/>
            <w:sz w:val="24"/>
            <w:szCs w:val="24"/>
          </w:rPr>
          <w:t>http://classics.mit.edu/Plato/euthyfro.html</w:t>
        </w:r>
      </w:hyperlink>
      <w:r w:rsidR="00186411" w:rsidRPr="00B84ECE">
        <w:rPr>
          <w:rFonts w:ascii="Times New Roman" w:hAnsi="Times New Roman" w:cs="Times New Roman"/>
          <w:sz w:val="24"/>
          <w:szCs w:val="24"/>
        </w:rPr>
        <w:t xml:space="preserve"> </w:t>
      </w:r>
    </w:p>
  </w:footnote>
  <w:footnote w:id="20">
    <w:p w14:paraId="5579BCC2" w14:textId="77777777" w:rsidR="004C64F5" w:rsidRPr="00B84ECE" w:rsidRDefault="004C64F5">
      <w:pPr>
        <w:pStyle w:val="FootnoteText"/>
        <w:rPr>
          <w:rFonts w:ascii="Times New Roman" w:hAnsi="Times New Roman" w:cs="Times New Roman"/>
          <w:sz w:val="24"/>
          <w:szCs w:val="24"/>
        </w:rPr>
      </w:pPr>
      <w:r w:rsidRPr="00B84ECE">
        <w:rPr>
          <w:rStyle w:val="FootnoteReference"/>
          <w:rFonts w:ascii="Times New Roman" w:hAnsi="Times New Roman" w:cs="Times New Roman"/>
          <w:sz w:val="24"/>
          <w:szCs w:val="24"/>
        </w:rPr>
        <w:footnoteRef/>
      </w:r>
      <w:r w:rsidRPr="00B84ECE">
        <w:rPr>
          <w:rFonts w:ascii="Times New Roman" w:hAnsi="Times New Roman" w:cs="Times New Roman"/>
          <w:sz w:val="24"/>
          <w:szCs w:val="24"/>
        </w:rPr>
        <w:t xml:space="preserve"> 23 U.S. (10 Wheat.) 66 (1825).  </w:t>
      </w:r>
    </w:p>
  </w:footnote>
  <w:footnote w:id="21">
    <w:p w14:paraId="3A4B4FFE" w14:textId="5FD403B7" w:rsidR="00DE5167" w:rsidRPr="00B84ECE" w:rsidRDefault="00DE5167">
      <w:pPr>
        <w:pStyle w:val="FootnoteText"/>
        <w:rPr>
          <w:rFonts w:ascii="Times New Roman" w:hAnsi="Times New Roman" w:cs="Times New Roman"/>
          <w:sz w:val="24"/>
          <w:szCs w:val="24"/>
        </w:rPr>
      </w:pPr>
      <w:r w:rsidRPr="00B84ECE">
        <w:rPr>
          <w:rStyle w:val="FootnoteReference"/>
          <w:rFonts w:ascii="Times New Roman" w:hAnsi="Times New Roman" w:cs="Times New Roman"/>
          <w:sz w:val="24"/>
          <w:szCs w:val="24"/>
        </w:rPr>
        <w:footnoteRef/>
      </w:r>
      <w:r w:rsidRPr="00B84ECE">
        <w:rPr>
          <w:rFonts w:ascii="Times New Roman" w:hAnsi="Times New Roman" w:cs="Times New Roman"/>
          <w:sz w:val="24"/>
          <w:szCs w:val="24"/>
        </w:rPr>
        <w:t xml:space="preserve"> </w:t>
      </w:r>
      <w:r w:rsidR="00186411" w:rsidRPr="00B84ECE">
        <w:rPr>
          <w:rFonts w:ascii="Times New Roman" w:hAnsi="Times New Roman" w:cs="Times New Roman"/>
          <w:sz w:val="24"/>
          <w:szCs w:val="24"/>
        </w:rPr>
        <w:t xml:space="preserve">Id. at 121.  </w:t>
      </w:r>
    </w:p>
  </w:footnote>
  <w:footnote w:id="22">
    <w:p w14:paraId="7648A43A" w14:textId="77777777" w:rsidR="004C64F5" w:rsidRPr="00B84ECE" w:rsidRDefault="004C64F5">
      <w:pPr>
        <w:pStyle w:val="FootnoteText"/>
        <w:rPr>
          <w:rFonts w:ascii="Times New Roman" w:hAnsi="Times New Roman" w:cs="Times New Roman"/>
          <w:sz w:val="24"/>
          <w:szCs w:val="24"/>
        </w:rPr>
      </w:pPr>
      <w:r w:rsidRPr="00B84ECE">
        <w:rPr>
          <w:rStyle w:val="FootnoteReference"/>
          <w:rFonts w:ascii="Times New Roman" w:hAnsi="Times New Roman" w:cs="Times New Roman"/>
          <w:sz w:val="24"/>
          <w:szCs w:val="24"/>
        </w:rPr>
        <w:footnoteRef/>
      </w:r>
      <w:r w:rsidRPr="00B84ECE">
        <w:rPr>
          <w:rFonts w:ascii="Times New Roman" w:hAnsi="Times New Roman" w:cs="Times New Roman"/>
          <w:sz w:val="24"/>
          <w:szCs w:val="24"/>
        </w:rPr>
        <w:t xml:space="preserve"> Dred Scott v. Sandford, 60 U.S. (19 How.) 393 (1857).</w:t>
      </w:r>
    </w:p>
  </w:footnote>
  <w:footnote w:id="23">
    <w:p w14:paraId="5BD146EB" w14:textId="02A7FC21" w:rsidR="00DE5167" w:rsidRPr="00B84ECE" w:rsidRDefault="00DE5167" w:rsidP="00D926BA">
      <w:pPr>
        <w:pStyle w:val="bodytext1"/>
        <w:shd w:val="clear" w:color="auto" w:fill="FFFFFF"/>
        <w:ind w:left="0"/>
        <w:rPr>
          <w:rFonts w:ascii="Times New Roman" w:hAnsi="Times New Roman"/>
          <w:sz w:val="24"/>
          <w:szCs w:val="24"/>
        </w:rPr>
      </w:pPr>
      <w:r w:rsidRPr="00B84ECE">
        <w:rPr>
          <w:rStyle w:val="FootnoteReference"/>
          <w:rFonts w:ascii="Times New Roman" w:hAnsi="Times New Roman"/>
          <w:sz w:val="24"/>
          <w:szCs w:val="24"/>
        </w:rPr>
        <w:footnoteRef/>
      </w:r>
      <w:r w:rsidRPr="00B84ECE">
        <w:rPr>
          <w:rFonts w:ascii="Times New Roman" w:hAnsi="Times New Roman"/>
          <w:sz w:val="24"/>
          <w:szCs w:val="24"/>
        </w:rPr>
        <w:t xml:space="preserve"> </w:t>
      </w:r>
      <w:r w:rsidR="00D926BA" w:rsidRPr="00B84ECE">
        <w:rPr>
          <w:rFonts w:ascii="Times New Roman" w:hAnsi="Times New Roman"/>
          <w:sz w:val="24"/>
          <w:szCs w:val="24"/>
        </w:rPr>
        <w:t>Id. at 405.  He went on:  “</w:t>
      </w:r>
      <w:r w:rsidR="00186411" w:rsidRPr="00B84ECE">
        <w:rPr>
          <w:rFonts w:ascii="Times New Roman" w:hAnsi="Times New Roman"/>
          <w:color w:val="000000"/>
          <w:sz w:val="24"/>
          <w:szCs w:val="24"/>
        </w:rPr>
        <w:t>The decision of that question belonged to the political or lawmaking power, to those who formed the sovereignty and framed the Constitution. The duty of the court is to interpret the instrument they have framed with the best lights we can obtain on the subject, and to administer it as we find it, according to its true intent and meaning when it was adopted.</w:t>
      </w:r>
      <w:r w:rsidR="00D926BA" w:rsidRPr="00B84ECE">
        <w:rPr>
          <w:rFonts w:ascii="Times New Roman" w:hAnsi="Times New Roman"/>
          <w:color w:val="000000"/>
          <w:sz w:val="24"/>
          <w:szCs w:val="24"/>
        </w:rPr>
        <w:t>”</w:t>
      </w:r>
    </w:p>
  </w:footnote>
  <w:footnote w:id="24">
    <w:p w14:paraId="453BA20E" w14:textId="2491A65D" w:rsidR="00D926BA" w:rsidRPr="00B84ECE" w:rsidRDefault="00D926BA">
      <w:pPr>
        <w:pStyle w:val="FootnoteText"/>
        <w:rPr>
          <w:rFonts w:ascii="Times New Roman" w:hAnsi="Times New Roman" w:cs="Times New Roman"/>
          <w:sz w:val="24"/>
          <w:szCs w:val="24"/>
        </w:rPr>
      </w:pPr>
      <w:r w:rsidRPr="00B84ECE">
        <w:rPr>
          <w:rStyle w:val="FootnoteReference"/>
          <w:rFonts w:ascii="Times New Roman" w:hAnsi="Times New Roman" w:cs="Times New Roman"/>
          <w:sz w:val="24"/>
          <w:szCs w:val="24"/>
        </w:rPr>
        <w:footnoteRef/>
      </w:r>
      <w:r w:rsidRPr="00B84ECE">
        <w:rPr>
          <w:rFonts w:ascii="Times New Roman" w:hAnsi="Times New Roman" w:cs="Times New Roman"/>
          <w:sz w:val="24"/>
          <w:szCs w:val="24"/>
        </w:rPr>
        <w:t xml:space="preserve"> See, e.g., “natural law,” available at </w:t>
      </w:r>
      <w:hyperlink r:id="rId4" w:history="1">
        <w:r w:rsidRPr="00B84ECE">
          <w:rPr>
            <w:rStyle w:val="Hyperlink"/>
            <w:rFonts w:ascii="Times New Roman" w:hAnsi="Times New Roman" w:cs="Times New Roman"/>
            <w:sz w:val="24"/>
            <w:szCs w:val="24"/>
          </w:rPr>
          <w:t>http://www.iep.utm.edu/natlaw/</w:t>
        </w:r>
      </w:hyperlink>
      <w:r w:rsidRPr="00B84ECE">
        <w:rPr>
          <w:rFonts w:ascii="Times New Roman" w:hAnsi="Times New Roman" w:cs="Times New Roman"/>
          <w:sz w:val="24"/>
          <w:szCs w:val="24"/>
        </w:rPr>
        <w:t xml:space="preserve"> .  See also Robert George, IN DEFENSE OF NATURAL LAW (1999).  </w:t>
      </w:r>
    </w:p>
  </w:footnote>
  <w:footnote w:id="25">
    <w:p w14:paraId="3C216D81" w14:textId="2654C705" w:rsidR="00595CA6" w:rsidRPr="00B84ECE" w:rsidRDefault="00595CA6">
      <w:pPr>
        <w:pStyle w:val="FootnoteText"/>
        <w:rPr>
          <w:rFonts w:ascii="Times New Roman" w:hAnsi="Times New Roman" w:cs="Times New Roman"/>
          <w:sz w:val="24"/>
          <w:szCs w:val="24"/>
        </w:rPr>
      </w:pPr>
      <w:r w:rsidRPr="00B84ECE">
        <w:rPr>
          <w:rStyle w:val="FootnoteReference"/>
          <w:rFonts w:ascii="Times New Roman" w:hAnsi="Times New Roman" w:cs="Times New Roman"/>
          <w:sz w:val="24"/>
          <w:szCs w:val="24"/>
        </w:rPr>
        <w:footnoteRef/>
      </w:r>
      <w:r w:rsidRPr="00B84ECE">
        <w:rPr>
          <w:rFonts w:ascii="Times New Roman" w:hAnsi="Times New Roman" w:cs="Times New Roman"/>
          <w:sz w:val="24"/>
          <w:szCs w:val="24"/>
        </w:rPr>
        <w:t xml:space="preserve"> See Thurgood Marshall, </w:t>
      </w:r>
      <w:r w:rsidRPr="00B84ECE">
        <w:rPr>
          <w:rFonts w:ascii="Times New Roman" w:hAnsi="Times New Roman" w:cs="Times New Roman"/>
          <w:i/>
          <w:sz w:val="24"/>
          <w:szCs w:val="24"/>
        </w:rPr>
        <w:t xml:space="preserve">Commentary:  Reflections on the Bicentennial of the United States Constitution, </w:t>
      </w:r>
      <w:r w:rsidRPr="00B84ECE">
        <w:rPr>
          <w:rFonts w:ascii="Times New Roman" w:hAnsi="Times New Roman" w:cs="Times New Roman"/>
          <w:sz w:val="24"/>
          <w:szCs w:val="24"/>
        </w:rPr>
        <w:t>101 HARV. L. REV. 1 (1987).</w:t>
      </w:r>
    </w:p>
  </w:footnote>
  <w:footnote w:id="26">
    <w:p w14:paraId="069A9D56" w14:textId="77777777" w:rsidR="004C64F5" w:rsidRPr="00B84ECE" w:rsidRDefault="004C64F5" w:rsidP="004C64F5">
      <w:pPr>
        <w:pStyle w:val="FootnoteText"/>
        <w:rPr>
          <w:rFonts w:ascii="Times New Roman" w:hAnsi="Times New Roman" w:cs="Times New Roman"/>
          <w:sz w:val="24"/>
          <w:szCs w:val="24"/>
        </w:rPr>
      </w:pPr>
      <w:r w:rsidRPr="00B84ECE">
        <w:rPr>
          <w:rStyle w:val="FootnoteReference"/>
          <w:rFonts w:ascii="Times New Roman" w:hAnsi="Times New Roman" w:cs="Times New Roman"/>
          <w:sz w:val="24"/>
          <w:szCs w:val="24"/>
        </w:rPr>
        <w:footnoteRef/>
      </w:r>
      <w:r w:rsidRPr="00B84ECE">
        <w:rPr>
          <w:rFonts w:ascii="Times New Roman" w:hAnsi="Times New Roman" w:cs="Times New Roman"/>
          <w:sz w:val="24"/>
          <w:szCs w:val="24"/>
        </w:rPr>
        <w:t xml:space="preserve"> 41 U.S. (116 Pet.) 536 (1842).  It is worth quoting in full a recent description of </w:t>
      </w:r>
      <w:r w:rsidRPr="00B84ECE">
        <w:rPr>
          <w:rFonts w:ascii="Times New Roman" w:hAnsi="Times New Roman" w:cs="Times New Roman"/>
          <w:i/>
          <w:sz w:val="24"/>
          <w:szCs w:val="24"/>
        </w:rPr>
        <w:t xml:space="preserve">Prigg </w:t>
      </w:r>
      <w:r w:rsidRPr="00B84ECE">
        <w:rPr>
          <w:rFonts w:ascii="Times New Roman" w:hAnsi="Times New Roman" w:cs="Times New Roman"/>
          <w:sz w:val="24"/>
          <w:szCs w:val="24"/>
        </w:rPr>
        <w:t xml:space="preserve">from Jamal Greene, </w:t>
      </w:r>
      <w:r w:rsidRPr="00B84ECE">
        <w:rPr>
          <w:rFonts w:ascii="Times New Roman" w:hAnsi="Times New Roman" w:cs="Times New Roman"/>
          <w:i/>
          <w:sz w:val="24"/>
          <w:szCs w:val="24"/>
        </w:rPr>
        <w:t xml:space="preserve">The Anticanon, </w:t>
      </w:r>
      <w:r w:rsidRPr="00B84ECE">
        <w:rPr>
          <w:rFonts w:ascii="Times New Roman" w:hAnsi="Times New Roman" w:cs="Times New Roman"/>
          <w:sz w:val="24"/>
          <w:szCs w:val="24"/>
        </w:rPr>
        <w:t>125</w:t>
      </w:r>
      <w:r w:rsidRPr="00B84ECE">
        <w:rPr>
          <w:rFonts w:ascii="Times New Roman" w:hAnsi="Times New Roman" w:cs="Times New Roman"/>
          <w:spacing w:val="5"/>
          <w:sz w:val="24"/>
          <w:szCs w:val="24"/>
        </w:rPr>
        <w:t xml:space="preserve"> </w:t>
      </w:r>
      <w:r w:rsidRPr="00B84ECE">
        <w:rPr>
          <w:rFonts w:ascii="Times New Roman" w:hAnsi="Times New Roman" w:cs="Times New Roman"/>
          <w:smallCaps/>
          <w:sz w:val="24"/>
          <w:szCs w:val="24"/>
        </w:rPr>
        <w:t>H</w:t>
      </w:r>
      <w:r w:rsidRPr="00B84ECE">
        <w:rPr>
          <w:rFonts w:ascii="Times New Roman" w:hAnsi="Times New Roman" w:cs="Times New Roman"/>
          <w:smallCaps/>
          <w:w w:val="110"/>
          <w:sz w:val="24"/>
          <w:szCs w:val="24"/>
        </w:rPr>
        <w:t>arv</w:t>
      </w:r>
      <w:r w:rsidRPr="00B84ECE">
        <w:rPr>
          <w:rFonts w:ascii="Times New Roman" w:hAnsi="Times New Roman" w:cs="Times New Roman"/>
          <w:smallCaps/>
          <w:sz w:val="24"/>
          <w:szCs w:val="24"/>
        </w:rPr>
        <w:t>.</w:t>
      </w:r>
      <w:r w:rsidRPr="00B84ECE">
        <w:rPr>
          <w:rFonts w:ascii="Times New Roman" w:hAnsi="Times New Roman" w:cs="Times New Roman"/>
          <w:smallCaps/>
          <w:spacing w:val="5"/>
          <w:sz w:val="24"/>
          <w:szCs w:val="24"/>
        </w:rPr>
        <w:t xml:space="preserve"> </w:t>
      </w:r>
      <w:r w:rsidRPr="00B84ECE">
        <w:rPr>
          <w:rFonts w:ascii="Times New Roman" w:hAnsi="Times New Roman" w:cs="Times New Roman"/>
          <w:smallCaps/>
          <w:sz w:val="24"/>
          <w:szCs w:val="24"/>
        </w:rPr>
        <w:t>L.</w:t>
      </w:r>
      <w:r w:rsidRPr="00B84ECE">
        <w:rPr>
          <w:rFonts w:ascii="Times New Roman" w:hAnsi="Times New Roman" w:cs="Times New Roman"/>
          <w:smallCaps/>
          <w:spacing w:val="5"/>
          <w:sz w:val="24"/>
          <w:szCs w:val="24"/>
        </w:rPr>
        <w:t xml:space="preserve"> </w:t>
      </w:r>
      <w:r w:rsidRPr="00B84ECE">
        <w:rPr>
          <w:rFonts w:ascii="Times New Roman" w:hAnsi="Times New Roman" w:cs="Times New Roman"/>
          <w:smallCaps/>
          <w:sz w:val="24"/>
          <w:szCs w:val="24"/>
        </w:rPr>
        <w:t>R</w:t>
      </w:r>
      <w:r w:rsidRPr="00B84ECE">
        <w:rPr>
          <w:rFonts w:ascii="Times New Roman" w:hAnsi="Times New Roman" w:cs="Times New Roman"/>
          <w:smallCaps/>
          <w:w w:val="110"/>
          <w:sz w:val="24"/>
          <w:szCs w:val="24"/>
        </w:rPr>
        <w:t>ev</w:t>
      </w:r>
      <w:r w:rsidRPr="00B84ECE">
        <w:rPr>
          <w:rFonts w:ascii="Times New Roman" w:hAnsi="Times New Roman" w:cs="Times New Roman"/>
          <w:smallCaps/>
          <w:sz w:val="24"/>
          <w:szCs w:val="24"/>
        </w:rPr>
        <w:t>.</w:t>
      </w:r>
      <w:r w:rsidRPr="00B84ECE">
        <w:rPr>
          <w:rFonts w:ascii="Times New Roman" w:hAnsi="Times New Roman" w:cs="Times New Roman"/>
          <w:spacing w:val="5"/>
          <w:sz w:val="24"/>
          <w:szCs w:val="24"/>
        </w:rPr>
        <w:t xml:space="preserve"> </w:t>
      </w:r>
      <w:r w:rsidRPr="00B84ECE">
        <w:rPr>
          <w:rFonts w:ascii="Times New Roman" w:hAnsi="Times New Roman" w:cs="Times New Roman"/>
          <w:sz w:val="24"/>
          <w:szCs w:val="24"/>
        </w:rPr>
        <w:t xml:space="preserve">379, 428 </w:t>
      </w:r>
      <w:r w:rsidRPr="00B84ECE">
        <w:rPr>
          <w:rFonts w:ascii="Times New Roman" w:hAnsi="Times New Roman" w:cs="Times New Roman"/>
          <w:spacing w:val="5"/>
          <w:sz w:val="24"/>
          <w:szCs w:val="24"/>
        </w:rPr>
        <w:t xml:space="preserve"> </w:t>
      </w:r>
      <w:r w:rsidRPr="00B84ECE">
        <w:rPr>
          <w:rFonts w:ascii="Times New Roman" w:hAnsi="Times New Roman" w:cs="Times New Roman"/>
          <w:sz w:val="24"/>
          <w:szCs w:val="24"/>
        </w:rPr>
        <w:t>(2011):</w:t>
      </w:r>
    </w:p>
    <w:p w14:paraId="7492984C" w14:textId="77777777" w:rsidR="004C64F5" w:rsidRPr="00B84ECE" w:rsidRDefault="004C64F5" w:rsidP="004C64F5">
      <w:pPr>
        <w:pStyle w:val="FootnoteText"/>
        <w:rPr>
          <w:rFonts w:ascii="Times New Roman" w:hAnsi="Times New Roman" w:cs="Times New Roman"/>
          <w:sz w:val="24"/>
          <w:szCs w:val="24"/>
        </w:rPr>
      </w:pPr>
    </w:p>
    <w:p w14:paraId="36E99452" w14:textId="77777777" w:rsidR="004C64F5" w:rsidRPr="00B84ECE" w:rsidRDefault="004C64F5">
      <w:pPr>
        <w:pStyle w:val="FootnoteText"/>
        <w:rPr>
          <w:rFonts w:ascii="Times New Roman" w:hAnsi="Times New Roman" w:cs="Times New Roman"/>
          <w:sz w:val="24"/>
          <w:szCs w:val="24"/>
        </w:rPr>
      </w:pPr>
      <w:r w:rsidRPr="00B84ECE">
        <w:rPr>
          <w:rFonts w:ascii="Times New Roman" w:hAnsi="Times New Roman" w:cs="Times New Roman"/>
          <w:i/>
          <w:sz w:val="24"/>
          <w:szCs w:val="24"/>
        </w:rPr>
        <w:t>Prigg</w:t>
      </w:r>
      <w:r w:rsidRPr="00B84ECE">
        <w:rPr>
          <w:rFonts w:ascii="Times New Roman" w:hAnsi="Times New Roman" w:cs="Times New Roman"/>
          <w:i/>
          <w:spacing w:val="10"/>
          <w:sz w:val="24"/>
          <w:szCs w:val="24"/>
        </w:rPr>
        <w:t xml:space="preserve"> </w:t>
      </w:r>
      <w:r w:rsidRPr="00B84ECE">
        <w:rPr>
          <w:rFonts w:ascii="Times New Roman" w:hAnsi="Times New Roman" w:cs="Times New Roman"/>
          <w:i/>
          <w:sz w:val="24"/>
          <w:szCs w:val="24"/>
        </w:rPr>
        <w:t>v.</w:t>
      </w:r>
      <w:r w:rsidRPr="00B84ECE">
        <w:rPr>
          <w:rFonts w:ascii="Times New Roman" w:hAnsi="Times New Roman" w:cs="Times New Roman"/>
          <w:i/>
          <w:spacing w:val="10"/>
          <w:sz w:val="24"/>
          <w:szCs w:val="24"/>
        </w:rPr>
        <w:t xml:space="preserve"> </w:t>
      </w:r>
      <w:r w:rsidRPr="00B84ECE">
        <w:rPr>
          <w:rFonts w:ascii="Times New Roman" w:hAnsi="Times New Roman" w:cs="Times New Roman"/>
          <w:i/>
          <w:sz w:val="24"/>
          <w:szCs w:val="24"/>
        </w:rPr>
        <w:t>Pennsylvania</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could</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easily</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be</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called</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the</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worst</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Supreme</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Court</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decision</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ever</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issued.</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The</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human</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tragedy</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of</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the</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decision</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is</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breathtaking.</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In</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an</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opinion</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by</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Justice</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Story,</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the</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Court</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reversed</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the</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criminal</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prosecution</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of</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a</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slave</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catcher</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who</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had</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kidnapped</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and</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sold</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into</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slavery</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a</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woman,</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Margaret</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Morgan,</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who</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likely</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was</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not</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a</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fugitive</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slave,</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and</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her</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two</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children,</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who</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assuredly</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were</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not.</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The</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Court’s</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holding</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was</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that</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the</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Fugitive</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Slave</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Clause</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prohibited</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states</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from</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subjecting</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slave</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catchers</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to</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a</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state-sanctioned</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civil</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process,</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except</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to</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prevent</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“breach</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of</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the</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peace,</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or</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any</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illegal</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violence.”</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Under</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the</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logic</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of</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the</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opinion,</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however,</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the</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kidnapping</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could</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not</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itself</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be</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outlawed</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as</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“illegal</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violence.”</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Put</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otherwise,</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violence</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against</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blacks</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was</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“legal”</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violence;</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“illegal”</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violence</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was</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violence</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against</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whites.</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The</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decision</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abided</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the</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constant</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threat</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of</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enslavement</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experienced</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by</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free</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brown-skinned</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Americans</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in</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both</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the</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North</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and</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the</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South.</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By</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constitutionally</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forbidding</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states</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from</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preventing</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private</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violence</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against</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blacks,</w:t>
      </w:r>
      <w:r w:rsidRPr="00B84ECE">
        <w:rPr>
          <w:rFonts w:ascii="Times New Roman" w:hAnsi="Times New Roman" w:cs="Times New Roman"/>
          <w:spacing w:val="10"/>
          <w:sz w:val="24"/>
          <w:szCs w:val="24"/>
        </w:rPr>
        <w:t xml:space="preserve"> </w:t>
      </w:r>
      <w:r w:rsidRPr="00B84ECE">
        <w:rPr>
          <w:rFonts w:ascii="Times New Roman" w:hAnsi="Times New Roman" w:cs="Times New Roman"/>
          <w:i/>
          <w:sz w:val="24"/>
          <w:szCs w:val="24"/>
        </w:rPr>
        <w:t>Prigg</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worked</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a</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simultaneous</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assault</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on</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due</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process</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and</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on</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equal</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protection,</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the</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twin</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pillars</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of</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the</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modern</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Fourteenth</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Amendment.</w:t>
      </w:r>
      <w:r w:rsidRPr="00B84ECE">
        <w:rPr>
          <w:rFonts w:ascii="Times New Roman" w:hAnsi="Times New Roman" w:cs="Times New Roman"/>
          <w:spacing w:val="10"/>
          <w:sz w:val="24"/>
          <w:szCs w:val="24"/>
        </w:rPr>
        <w:t> </w:t>
      </w:r>
      <w:r w:rsidRPr="00B84ECE">
        <w:rPr>
          <w:rFonts w:ascii="Times New Roman" w:hAnsi="Times New Roman" w:cs="Times New Roman"/>
          <w:sz w:val="24"/>
          <w:szCs w:val="24"/>
        </w:rPr>
        <w:t>.</w:t>
      </w:r>
      <w:r w:rsidRPr="00B84ECE">
        <w:rPr>
          <w:rFonts w:ascii="Times New Roman" w:hAnsi="Times New Roman" w:cs="Times New Roman"/>
          <w:spacing w:val="10"/>
          <w:sz w:val="24"/>
          <w:szCs w:val="24"/>
        </w:rPr>
        <w:t> </w:t>
      </w:r>
      <w:r w:rsidRPr="00B84ECE">
        <w:rPr>
          <w:rFonts w:ascii="Times New Roman" w:hAnsi="Times New Roman" w:cs="Times New Roman"/>
          <w:sz w:val="24"/>
          <w:szCs w:val="24"/>
        </w:rPr>
        <w:t>.</w:t>
      </w:r>
      <w:r w:rsidRPr="00B84ECE">
        <w:rPr>
          <w:rFonts w:ascii="Times New Roman" w:hAnsi="Times New Roman" w:cs="Times New Roman"/>
          <w:spacing w:val="10"/>
          <w:sz w:val="24"/>
          <w:szCs w:val="24"/>
        </w:rPr>
        <w:t> </w:t>
      </w:r>
      <w:r w:rsidRPr="00B84ECE">
        <w:rPr>
          <w:rFonts w:ascii="Times New Roman" w:hAnsi="Times New Roman" w:cs="Times New Roman"/>
          <w:sz w:val="24"/>
          <w:szCs w:val="24"/>
        </w:rPr>
        <w:t>.</w:t>
      </w:r>
      <w:r w:rsidRPr="00B84ECE">
        <w:rPr>
          <w:rFonts w:ascii="Times New Roman" w:hAnsi="Times New Roman" w:cs="Times New Roman"/>
          <w:spacing w:val="10"/>
          <w:sz w:val="24"/>
          <w:szCs w:val="24"/>
        </w:rPr>
        <w:t xml:space="preserve">  </w:t>
      </w:r>
      <w:r w:rsidRPr="00B84ECE">
        <w:rPr>
          <w:rFonts w:ascii="Times New Roman" w:hAnsi="Times New Roman" w:cs="Times New Roman"/>
          <w:i/>
          <w:sz w:val="24"/>
          <w:szCs w:val="24"/>
        </w:rPr>
        <w:t>Prigg</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virtually</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made</w:t>
      </w:r>
      <w:r w:rsidRPr="00B84ECE">
        <w:rPr>
          <w:rFonts w:ascii="Times New Roman" w:hAnsi="Times New Roman" w:cs="Times New Roman"/>
          <w:spacing w:val="10"/>
          <w:sz w:val="24"/>
          <w:szCs w:val="24"/>
        </w:rPr>
        <w:t xml:space="preserve"> </w:t>
      </w:r>
      <w:r w:rsidRPr="00B84ECE">
        <w:rPr>
          <w:rFonts w:ascii="Times New Roman" w:hAnsi="Times New Roman" w:cs="Times New Roman"/>
          <w:i/>
          <w:sz w:val="24"/>
          <w:szCs w:val="24"/>
        </w:rPr>
        <w:t>Dred</w:t>
      </w:r>
      <w:r w:rsidRPr="00B84ECE">
        <w:rPr>
          <w:rFonts w:ascii="Times New Roman" w:hAnsi="Times New Roman" w:cs="Times New Roman"/>
          <w:i/>
          <w:spacing w:val="10"/>
          <w:sz w:val="24"/>
          <w:szCs w:val="24"/>
        </w:rPr>
        <w:t xml:space="preserve"> </w:t>
      </w:r>
      <w:r w:rsidRPr="00B84ECE">
        <w:rPr>
          <w:rFonts w:ascii="Times New Roman" w:hAnsi="Times New Roman" w:cs="Times New Roman"/>
          <w:i/>
          <w:sz w:val="24"/>
          <w:szCs w:val="24"/>
        </w:rPr>
        <w:t>Scott</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a</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fait</w:t>
      </w:r>
      <w:r w:rsidRPr="00B84ECE">
        <w:rPr>
          <w:rFonts w:ascii="Times New Roman" w:hAnsi="Times New Roman" w:cs="Times New Roman"/>
          <w:spacing w:val="10"/>
          <w:sz w:val="24"/>
          <w:szCs w:val="24"/>
        </w:rPr>
        <w:t xml:space="preserve"> </w:t>
      </w:r>
      <w:r w:rsidRPr="00B84ECE">
        <w:rPr>
          <w:rFonts w:ascii="Times New Roman" w:hAnsi="Times New Roman" w:cs="Times New Roman"/>
          <w:sz w:val="24"/>
          <w:szCs w:val="24"/>
        </w:rPr>
        <w:t>accompli.</w:t>
      </w:r>
    </w:p>
  </w:footnote>
  <w:footnote w:id="27">
    <w:p w14:paraId="39EBD93E" w14:textId="77777777" w:rsidR="004C64F5" w:rsidRPr="00B84ECE" w:rsidRDefault="004C64F5">
      <w:pPr>
        <w:pStyle w:val="FootnoteText"/>
        <w:rPr>
          <w:rFonts w:ascii="Times New Roman" w:hAnsi="Times New Roman" w:cs="Times New Roman"/>
          <w:i/>
          <w:sz w:val="24"/>
          <w:szCs w:val="24"/>
        </w:rPr>
      </w:pPr>
      <w:r w:rsidRPr="00B84ECE">
        <w:rPr>
          <w:rStyle w:val="FootnoteReference"/>
          <w:rFonts w:ascii="Times New Roman" w:hAnsi="Times New Roman" w:cs="Times New Roman"/>
          <w:sz w:val="24"/>
          <w:szCs w:val="24"/>
        </w:rPr>
        <w:footnoteRef/>
      </w:r>
      <w:r w:rsidRPr="00B84ECE">
        <w:rPr>
          <w:rFonts w:ascii="Times New Roman" w:hAnsi="Times New Roman" w:cs="Times New Roman"/>
          <w:sz w:val="24"/>
          <w:szCs w:val="24"/>
        </w:rPr>
        <w:t xml:space="preserve"> See Jules Harlow, ed., </w:t>
      </w:r>
      <w:r w:rsidRPr="00B84ECE">
        <w:rPr>
          <w:rFonts w:ascii="Times New Roman" w:hAnsi="Times New Roman" w:cs="Times New Roman"/>
          <w:i/>
          <w:sz w:val="24"/>
          <w:szCs w:val="24"/>
        </w:rPr>
        <w:t xml:space="preserve">Siddur Sim Shalom </w:t>
      </w:r>
      <w:r w:rsidRPr="00B84ECE">
        <w:rPr>
          <w:rFonts w:ascii="Times New Roman" w:hAnsi="Times New Roman" w:cs="Times New Roman"/>
          <w:sz w:val="24"/>
          <w:szCs w:val="24"/>
        </w:rPr>
        <w:t>284-85 (</w:t>
      </w:r>
      <w:r w:rsidR="007215C3" w:rsidRPr="00B84ECE">
        <w:rPr>
          <w:rFonts w:ascii="Times New Roman" w:hAnsi="Times New Roman" w:cs="Times New Roman"/>
          <w:sz w:val="24"/>
          <w:szCs w:val="24"/>
        </w:rPr>
        <w:t xml:space="preserve">New York:  Rabbinical Assembly, 1985), quoted in Sanford Levinson, </w:t>
      </w:r>
      <w:r w:rsidR="007215C3" w:rsidRPr="00B84ECE">
        <w:rPr>
          <w:rFonts w:ascii="Times New Roman" w:hAnsi="Times New Roman" w:cs="Times New Roman"/>
          <w:i/>
          <w:sz w:val="24"/>
          <w:szCs w:val="24"/>
        </w:rPr>
        <w:t xml:space="preserve">Constitutional Faith </w:t>
      </w:r>
      <w:r w:rsidR="007215C3" w:rsidRPr="00B84ECE">
        <w:rPr>
          <w:rFonts w:ascii="Times New Roman" w:hAnsi="Times New Roman" w:cs="Times New Roman"/>
          <w:sz w:val="24"/>
          <w:szCs w:val="24"/>
        </w:rPr>
        <w:t>218-219 (2d ed. 2011).</w:t>
      </w:r>
      <w:r w:rsidR="007215C3" w:rsidRPr="00B84ECE">
        <w:rPr>
          <w:rFonts w:ascii="Times New Roman" w:hAnsi="Times New Roman" w:cs="Times New Roman"/>
          <w:i/>
          <w:sz w:val="24"/>
          <w:szCs w:val="24"/>
        </w:rPr>
        <w:t xml:space="preserve">  </w:t>
      </w:r>
    </w:p>
  </w:footnote>
  <w:footnote w:id="28">
    <w:p w14:paraId="27F9F5FE" w14:textId="77777777" w:rsidR="0066558C" w:rsidRPr="00B84ECE" w:rsidRDefault="0066558C">
      <w:pPr>
        <w:pStyle w:val="FootnoteText"/>
        <w:rPr>
          <w:rFonts w:ascii="Times New Roman" w:hAnsi="Times New Roman" w:cs="Times New Roman"/>
          <w:sz w:val="24"/>
          <w:szCs w:val="24"/>
        </w:rPr>
      </w:pPr>
      <w:r w:rsidRPr="00B84ECE">
        <w:rPr>
          <w:rStyle w:val="FootnoteReference"/>
          <w:rFonts w:ascii="Times New Roman" w:hAnsi="Times New Roman" w:cs="Times New Roman"/>
          <w:sz w:val="24"/>
          <w:szCs w:val="24"/>
        </w:rPr>
        <w:footnoteRef/>
      </w:r>
      <w:r w:rsidRPr="00B84ECE">
        <w:rPr>
          <w:rFonts w:ascii="Times New Roman" w:hAnsi="Times New Roman" w:cs="Times New Roman"/>
          <w:sz w:val="24"/>
          <w:szCs w:val="24"/>
        </w:rPr>
        <w:t xml:space="preserve"> </w:t>
      </w:r>
      <w:hyperlink r:id="rId5" w:history="1">
        <w:r w:rsidRPr="00B84ECE">
          <w:rPr>
            <w:rStyle w:val="Hyperlink"/>
            <w:rFonts w:ascii="Times New Roman" w:hAnsi="Times New Roman" w:cs="Times New Roman"/>
            <w:sz w:val="24"/>
            <w:szCs w:val="24"/>
          </w:rPr>
          <w:t>http://www.ou.org/torah/ti/5764/rh64.htm</w:t>
        </w:r>
      </w:hyperlink>
      <w:r w:rsidRPr="00B84ECE">
        <w:rPr>
          <w:rFonts w:ascii="Times New Roman" w:hAnsi="Times New Roman" w:cs="Times New Roman"/>
          <w:sz w:val="24"/>
          <w:szCs w:val="24"/>
        </w:rPr>
        <w:t xml:space="preserve"> </w:t>
      </w:r>
    </w:p>
  </w:footnote>
  <w:footnote w:id="29">
    <w:p w14:paraId="3B5EDC47" w14:textId="77777777" w:rsidR="007215C3" w:rsidRPr="00B84ECE" w:rsidRDefault="007215C3">
      <w:pPr>
        <w:pStyle w:val="FootnoteText"/>
        <w:rPr>
          <w:rFonts w:ascii="Times New Roman" w:hAnsi="Times New Roman" w:cs="Times New Roman"/>
          <w:sz w:val="24"/>
          <w:szCs w:val="24"/>
        </w:rPr>
      </w:pPr>
      <w:r w:rsidRPr="00B84ECE">
        <w:rPr>
          <w:rStyle w:val="FootnoteReference"/>
          <w:rFonts w:ascii="Times New Roman" w:hAnsi="Times New Roman" w:cs="Times New Roman"/>
          <w:sz w:val="24"/>
          <w:szCs w:val="24"/>
        </w:rPr>
        <w:footnoteRef/>
      </w:r>
      <w:r w:rsidRPr="00B84ECE">
        <w:rPr>
          <w:rFonts w:ascii="Times New Roman" w:hAnsi="Times New Roman" w:cs="Times New Roman"/>
          <w:sz w:val="24"/>
          <w:szCs w:val="24"/>
        </w:rPr>
        <w:t xml:space="preserve"> Paul Kahn, </w:t>
      </w:r>
      <w:hyperlink r:id="rId6" w:history="1">
        <w:r w:rsidRPr="00B84ECE">
          <w:rPr>
            <w:rStyle w:val="Hyperlink"/>
            <w:rFonts w:ascii="Times New Roman" w:hAnsi="Times New Roman" w:cs="Times New Roman"/>
            <w:i/>
            <w:iCs/>
            <w:color w:val="auto"/>
            <w:sz w:val="24"/>
            <w:szCs w:val="24"/>
            <w:u w:val="none"/>
          </w:rPr>
          <w:t>Political Theology: Four New Chapters on the Concept of Sovereignty</w:t>
        </w:r>
      </w:hyperlink>
      <w:r w:rsidRPr="00B84ECE">
        <w:rPr>
          <w:rStyle w:val="Emphasis"/>
          <w:rFonts w:ascii="Times New Roman" w:hAnsi="Times New Roman" w:cs="Times New Roman"/>
          <w:sz w:val="24"/>
          <w:szCs w:val="24"/>
        </w:rPr>
        <w:t xml:space="preserve"> (2011).</w:t>
      </w:r>
    </w:p>
  </w:footnote>
  <w:footnote w:id="30">
    <w:p w14:paraId="413562D0" w14:textId="77777777" w:rsidR="007215C3" w:rsidRPr="00B84ECE" w:rsidRDefault="007215C3">
      <w:pPr>
        <w:pStyle w:val="FootnoteText"/>
        <w:rPr>
          <w:rFonts w:ascii="Times New Roman" w:hAnsi="Times New Roman" w:cs="Times New Roman"/>
          <w:sz w:val="24"/>
          <w:szCs w:val="24"/>
        </w:rPr>
      </w:pPr>
      <w:r w:rsidRPr="00B84ECE">
        <w:rPr>
          <w:rStyle w:val="FootnoteReference"/>
          <w:rFonts w:ascii="Times New Roman" w:hAnsi="Times New Roman" w:cs="Times New Roman"/>
          <w:sz w:val="24"/>
          <w:szCs w:val="24"/>
        </w:rPr>
        <w:footnoteRef/>
      </w:r>
      <w:r w:rsidRPr="00B84ECE">
        <w:rPr>
          <w:rFonts w:ascii="Times New Roman" w:hAnsi="Times New Roman" w:cs="Times New Roman"/>
          <w:sz w:val="24"/>
          <w:szCs w:val="24"/>
        </w:rPr>
        <w:t xml:space="preserve"> He was a supporter of Hitler’s rise to power and was, for two years during the 1930s, a member of the Nazi Party.</w:t>
      </w:r>
    </w:p>
  </w:footnote>
  <w:footnote w:id="31">
    <w:p w14:paraId="381CA94B" w14:textId="77777777" w:rsidR="0066558C" w:rsidRPr="00B84ECE" w:rsidRDefault="0066558C">
      <w:pPr>
        <w:pStyle w:val="FootnoteText"/>
        <w:rPr>
          <w:rFonts w:ascii="Times New Roman" w:hAnsi="Times New Roman" w:cs="Times New Roman"/>
          <w:sz w:val="24"/>
          <w:szCs w:val="24"/>
        </w:rPr>
      </w:pPr>
      <w:r w:rsidRPr="00B84ECE">
        <w:rPr>
          <w:rStyle w:val="FootnoteReference"/>
          <w:rFonts w:ascii="Times New Roman" w:hAnsi="Times New Roman" w:cs="Times New Roman"/>
          <w:sz w:val="24"/>
          <w:szCs w:val="24"/>
        </w:rPr>
        <w:footnoteRef/>
      </w:r>
      <w:r w:rsidRPr="00B84ECE">
        <w:rPr>
          <w:rFonts w:ascii="Times New Roman" w:hAnsi="Times New Roman" w:cs="Times New Roman"/>
          <w:sz w:val="24"/>
          <w:szCs w:val="24"/>
        </w:rPr>
        <w:t xml:space="preserve"> See Shalom Spiegel, </w:t>
      </w:r>
      <w:r w:rsidRPr="00B84ECE">
        <w:rPr>
          <w:rFonts w:ascii="Times New Roman" w:hAnsi="Times New Roman" w:cs="Times New Roman"/>
          <w:i/>
          <w:sz w:val="24"/>
          <w:szCs w:val="24"/>
        </w:rPr>
        <w:t>The Last Trial: On the Legends and Lore of the Command to Abraham to Offer Isaac as a Sacrifice: The Akedah</w:t>
      </w:r>
      <w:r w:rsidRPr="00B84ECE">
        <w:rPr>
          <w:rFonts w:ascii="Times New Roman" w:hAnsi="Times New Roman" w:cs="Times New Roman"/>
          <w:sz w:val="24"/>
          <w:szCs w:val="24"/>
        </w:rPr>
        <w:t>, who makes the obvious, but oft-forgotten, point that we must not only confront Abraham’s willingness to sacrifice Isaac, but Isaac’s own willingness to submit to the command of his father.</w:t>
      </w:r>
    </w:p>
  </w:footnote>
  <w:footnote w:id="32">
    <w:p w14:paraId="3E977305" w14:textId="63152421" w:rsidR="00DE5167" w:rsidRPr="00B84ECE" w:rsidRDefault="00DE5167">
      <w:pPr>
        <w:pStyle w:val="FootnoteText"/>
        <w:rPr>
          <w:rFonts w:ascii="Times New Roman" w:hAnsi="Times New Roman" w:cs="Times New Roman"/>
          <w:sz w:val="24"/>
          <w:szCs w:val="24"/>
        </w:rPr>
      </w:pPr>
      <w:r w:rsidRPr="00B84ECE">
        <w:rPr>
          <w:rStyle w:val="FootnoteReference"/>
          <w:rFonts w:ascii="Times New Roman" w:hAnsi="Times New Roman" w:cs="Times New Roman"/>
          <w:sz w:val="24"/>
          <w:szCs w:val="24"/>
        </w:rPr>
        <w:footnoteRef/>
      </w:r>
      <w:r w:rsidRPr="00B84ECE">
        <w:rPr>
          <w:rFonts w:ascii="Times New Roman" w:hAnsi="Times New Roman" w:cs="Times New Roman"/>
          <w:sz w:val="24"/>
          <w:szCs w:val="24"/>
        </w:rPr>
        <w:t xml:space="preserve"> </w:t>
      </w:r>
      <w:r w:rsidR="00595CA6" w:rsidRPr="00B84ECE">
        <w:rPr>
          <w:rFonts w:ascii="Times New Roman" w:hAnsi="Times New Roman" w:cs="Times New Roman"/>
          <w:sz w:val="24"/>
          <w:szCs w:val="24"/>
        </w:rPr>
        <w:t xml:space="preserve">See, e.g., </w:t>
      </w:r>
      <w:r w:rsidR="00595CA6" w:rsidRPr="00B84ECE">
        <w:rPr>
          <w:rFonts w:ascii="Times New Roman" w:hAnsi="Times New Roman" w:cs="Times New Roman"/>
          <w:color w:val="333333"/>
          <w:sz w:val="24"/>
          <w:szCs w:val="24"/>
        </w:rPr>
        <w:t xml:space="preserve">Arizona v. </w:t>
      </w:r>
      <w:hyperlink r:id="rId7" w:tgtFrame="_self" w:history="1">
        <w:r w:rsidR="00595CA6" w:rsidRPr="00B84ECE">
          <w:rPr>
            <w:rStyle w:val="Hyperlink"/>
            <w:rFonts w:ascii="Times New Roman" w:hAnsi="Times New Roman" w:cs="Times New Roman"/>
            <w:color w:val="auto"/>
            <w:sz w:val="24"/>
            <w:szCs w:val="24"/>
            <w:u w:val="none"/>
          </w:rPr>
          <w:t>U</w:t>
        </w:r>
        <w:r w:rsidR="00595CA6" w:rsidRPr="00B84ECE">
          <w:rPr>
            <w:rStyle w:val="Hyperlink"/>
            <w:rFonts w:ascii="Times New Roman" w:hAnsi="Times New Roman" w:cs="Times New Roman"/>
            <w:color w:val="auto"/>
            <w:sz w:val="24"/>
            <w:szCs w:val="24"/>
            <w:u w:val="none"/>
          </w:rPr>
          <w:t>.S.</w:t>
        </w:r>
      </w:hyperlink>
      <w:r w:rsidR="00595CA6" w:rsidRPr="00B84ECE">
        <w:rPr>
          <w:rFonts w:ascii="Times New Roman" w:hAnsi="Times New Roman" w:cs="Times New Roman"/>
          <w:color w:val="333333"/>
          <w:sz w:val="24"/>
          <w:szCs w:val="24"/>
        </w:rPr>
        <w:t xml:space="preserve"> to be argued in April 2012 and testing the limits of Arizona’s alleged sovereign right to regulate illegal aliens.  See </w:t>
      </w:r>
      <w:hyperlink r:id="rId8" w:history="1">
        <w:r w:rsidR="00595CA6" w:rsidRPr="00B84ECE">
          <w:rPr>
            <w:rStyle w:val="Hyperlink"/>
            <w:rFonts w:ascii="Times New Roman" w:hAnsi="Times New Roman" w:cs="Times New Roman"/>
            <w:sz w:val="24"/>
            <w:szCs w:val="24"/>
          </w:rPr>
          <w:t>http://www.scotusblog.com/case-files/cases/arizona-v-united-states/</w:t>
        </w:r>
      </w:hyperlink>
      <w:r w:rsidR="00595CA6" w:rsidRPr="00B84ECE">
        <w:rPr>
          <w:rFonts w:ascii="Times New Roman" w:hAnsi="Times New Roman" w:cs="Times New Roman"/>
          <w:color w:val="333333"/>
          <w:sz w:val="24"/>
          <w:szCs w:val="24"/>
        </w:rPr>
        <w:t xml:space="preserve">  </w:t>
      </w:r>
    </w:p>
  </w:footnote>
  <w:footnote w:id="33">
    <w:p w14:paraId="53245950" w14:textId="4D3CE78D" w:rsidR="00DE5167" w:rsidRPr="00B84ECE" w:rsidRDefault="00DE5167">
      <w:pPr>
        <w:pStyle w:val="FootnoteText"/>
        <w:rPr>
          <w:rFonts w:ascii="Times New Roman" w:hAnsi="Times New Roman" w:cs="Times New Roman"/>
          <w:sz w:val="24"/>
          <w:szCs w:val="24"/>
        </w:rPr>
      </w:pPr>
      <w:r w:rsidRPr="00B84ECE">
        <w:rPr>
          <w:rStyle w:val="FootnoteReference"/>
          <w:rFonts w:ascii="Times New Roman" w:hAnsi="Times New Roman" w:cs="Times New Roman"/>
          <w:sz w:val="24"/>
          <w:szCs w:val="24"/>
        </w:rPr>
        <w:footnoteRef/>
      </w:r>
      <w:r w:rsidRPr="00B84ECE">
        <w:rPr>
          <w:rFonts w:ascii="Times New Roman" w:hAnsi="Times New Roman" w:cs="Times New Roman"/>
          <w:sz w:val="24"/>
          <w:szCs w:val="24"/>
        </w:rPr>
        <w:t xml:space="preserve"> </w:t>
      </w:r>
      <w:r w:rsidR="00BA5556" w:rsidRPr="00B84ECE">
        <w:rPr>
          <w:rFonts w:ascii="Times New Roman" w:hAnsi="Times New Roman" w:cs="Times New Roman"/>
          <w:sz w:val="24"/>
          <w:szCs w:val="24"/>
        </w:rPr>
        <w:t xml:space="preserve">Thomas Kaplan, “Rights Clash as Town Clerk Rejects Her Role in Gay Marriage,” New York Times, Sept. 27, 2011, p. 1, available at </w:t>
      </w:r>
      <w:hyperlink r:id="rId9" w:history="1">
        <w:r w:rsidR="00BA5556" w:rsidRPr="00B84ECE">
          <w:rPr>
            <w:rStyle w:val="Hyperlink"/>
            <w:rFonts w:ascii="Times New Roman" w:hAnsi="Times New Roman" w:cs="Times New Roman"/>
            <w:sz w:val="24"/>
            <w:szCs w:val="24"/>
          </w:rPr>
          <w:t>http://www.nytimes.com/2011/09/28/nyregion/rights-clash-as-town-clerk-rejects-her-role-in-gay-marriages.html?scp=1&amp;sq=New%20York%20town%20clerk%20and%20marriage%20licenses%20to%20gay%20couples%20&amp;st=cse</w:t>
        </w:r>
      </w:hyperlink>
    </w:p>
  </w:footnote>
  <w:footnote w:id="34">
    <w:p w14:paraId="34832B61" w14:textId="75732C14" w:rsidR="0066558C" w:rsidRPr="00B84ECE" w:rsidRDefault="0066558C">
      <w:pPr>
        <w:pStyle w:val="FootnoteText"/>
        <w:rPr>
          <w:rFonts w:ascii="Times New Roman" w:hAnsi="Times New Roman" w:cs="Times New Roman"/>
          <w:sz w:val="24"/>
          <w:szCs w:val="24"/>
        </w:rPr>
      </w:pPr>
      <w:r w:rsidRPr="00B84ECE">
        <w:rPr>
          <w:rStyle w:val="FootnoteReference"/>
          <w:rFonts w:ascii="Times New Roman" w:hAnsi="Times New Roman" w:cs="Times New Roman"/>
          <w:sz w:val="24"/>
          <w:szCs w:val="24"/>
        </w:rPr>
        <w:footnoteRef/>
      </w:r>
      <w:r w:rsidRPr="00B84ECE">
        <w:rPr>
          <w:rFonts w:ascii="Times New Roman" w:hAnsi="Times New Roman" w:cs="Times New Roman"/>
          <w:sz w:val="24"/>
          <w:szCs w:val="24"/>
        </w:rPr>
        <w:t xml:space="preserve"> </w:t>
      </w:r>
      <w:r w:rsidR="00BA5556" w:rsidRPr="00B84ECE">
        <w:rPr>
          <w:rFonts w:ascii="Times New Roman" w:hAnsi="Times New Roman" w:cs="Times New Roman"/>
          <w:sz w:val="24"/>
          <w:szCs w:val="24"/>
        </w:rPr>
        <w:t>Id.</w:t>
      </w:r>
      <w:r w:rsidRPr="00B84ECE">
        <w:rPr>
          <w:rFonts w:ascii="Times New Roman" w:hAnsi="Times New Roman" w:cs="Times New Roman"/>
          <w:sz w:val="24"/>
          <w:szCs w:val="24"/>
        </w:rPr>
        <w:t xml:space="preserve"> </w:t>
      </w:r>
    </w:p>
  </w:footnote>
  <w:footnote w:id="35">
    <w:p w14:paraId="2723EF7F" w14:textId="4F035B94" w:rsidR="00DE5167" w:rsidRPr="00B84ECE" w:rsidRDefault="00DE5167">
      <w:pPr>
        <w:pStyle w:val="FootnoteText"/>
        <w:rPr>
          <w:rFonts w:ascii="Times New Roman" w:hAnsi="Times New Roman" w:cs="Times New Roman"/>
          <w:sz w:val="24"/>
          <w:szCs w:val="24"/>
        </w:rPr>
      </w:pPr>
      <w:r w:rsidRPr="00B84ECE">
        <w:rPr>
          <w:rStyle w:val="FootnoteReference"/>
          <w:rFonts w:ascii="Times New Roman" w:hAnsi="Times New Roman" w:cs="Times New Roman"/>
          <w:sz w:val="24"/>
          <w:szCs w:val="24"/>
        </w:rPr>
        <w:footnoteRef/>
      </w:r>
      <w:r w:rsidR="00BA5556" w:rsidRPr="00B84ECE">
        <w:rPr>
          <w:rFonts w:ascii="Times New Roman" w:hAnsi="Times New Roman" w:cs="Times New Roman"/>
          <w:sz w:val="24"/>
          <w:szCs w:val="24"/>
        </w:rPr>
        <w:t xml:space="preserve">  See, e.g., </w:t>
      </w:r>
      <w:hyperlink r:id="rId10" w:history="1">
        <w:r w:rsidR="00BA5556" w:rsidRPr="00B84ECE">
          <w:rPr>
            <w:rStyle w:val="Hyperlink"/>
            <w:rFonts w:ascii="Times New Roman" w:hAnsi="Times New Roman" w:cs="Times New Roman"/>
            <w:sz w:val="24"/>
            <w:szCs w:val="24"/>
          </w:rPr>
          <w:t>http://bible.cc/romans/13-1.htm</w:t>
        </w:r>
      </w:hyperlink>
      <w:r w:rsidR="00BA5556" w:rsidRPr="00B84ECE">
        <w:rPr>
          <w:rFonts w:ascii="Times New Roman" w:hAnsi="Times New Roman" w:cs="Times New Roman"/>
          <w:sz w:val="24"/>
          <w:szCs w:val="24"/>
        </w:rPr>
        <w:t xml:space="preserve"> for a full complement of translations of Romans 13.1  </w:t>
      </w:r>
    </w:p>
  </w:footnote>
  <w:footnote w:id="36">
    <w:p w14:paraId="7499AA27" w14:textId="4E87E906" w:rsidR="00BA5556" w:rsidRPr="00B84ECE" w:rsidRDefault="00BA5556">
      <w:pPr>
        <w:pStyle w:val="FootnoteText"/>
        <w:rPr>
          <w:rFonts w:ascii="Times New Roman" w:hAnsi="Times New Roman" w:cs="Times New Roman"/>
          <w:sz w:val="24"/>
          <w:szCs w:val="24"/>
        </w:rPr>
      </w:pPr>
      <w:r w:rsidRPr="00B84ECE">
        <w:rPr>
          <w:rStyle w:val="FootnoteReference"/>
          <w:rFonts w:ascii="Times New Roman" w:hAnsi="Times New Roman" w:cs="Times New Roman"/>
          <w:sz w:val="24"/>
          <w:szCs w:val="24"/>
        </w:rPr>
        <w:footnoteRef/>
      </w:r>
      <w:r w:rsidRPr="00B84ECE">
        <w:rPr>
          <w:rFonts w:ascii="Times New Roman" w:hAnsi="Times New Roman" w:cs="Times New Roman"/>
          <w:sz w:val="24"/>
          <w:szCs w:val="24"/>
        </w:rPr>
        <w:t xml:space="preserve"> See </w:t>
      </w:r>
      <w:hyperlink r:id="rId11" w:history="1">
        <w:r w:rsidRPr="00B84ECE">
          <w:rPr>
            <w:rStyle w:val="Hyperlink"/>
            <w:rFonts w:ascii="Times New Roman" w:hAnsi="Times New Roman" w:cs="Times New Roman"/>
            <w:sz w:val="24"/>
            <w:szCs w:val="24"/>
          </w:rPr>
          <w:t>http://bible.cc/romans/13-2.htm</w:t>
        </w:r>
      </w:hyperlink>
      <w:r w:rsidRPr="00B84ECE">
        <w:rPr>
          <w:rFonts w:ascii="Times New Roman" w:hAnsi="Times New Roman" w:cs="Times New Roman"/>
          <w:sz w:val="24"/>
          <w:szCs w:val="24"/>
        </w:rPr>
        <w:t xml:space="preserve"> </w:t>
      </w:r>
    </w:p>
  </w:footnote>
  <w:footnote w:id="37">
    <w:p w14:paraId="28A7AB03" w14:textId="77777777" w:rsidR="007215C3" w:rsidRPr="00B84ECE" w:rsidRDefault="007215C3">
      <w:pPr>
        <w:pStyle w:val="FootnoteText"/>
        <w:rPr>
          <w:rFonts w:ascii="Times New Roman" w:hAnsi="Times New Roman" w:cs="Times New Roman"/>
          <w:sz w:val="24"/>
          <w:szCs w:val="24"/>
        </w:rPr>
      </w:pPr>
      <w:r w:rsidRPr="00B84ECE">
        <w:rPr>
          <w:rStyle w:val="FootnoteReference"/>
          <w:rFonts w:ascii="Times New Roman" w:hAnsi="Times New Roman" w:cs="Times New Roman"/>
          <w:sz w:val="24"/>
          <w:szCs w:val="24"/>
        </w:rPr>
        <w:footnoteRef/>
      </w:r>
      <w:r w:rsidRPr="00B84ECE">
        <w:rPr>
          <w:rFonts w:ascii="Times New Roman" w:hAnsi="Times New Roman" w:cs="Times New Roman"/>
          <w:sz w:val="24"/>
          <w:szCs w:val="24"/>
        </w:rPr>
        <w:t xml:space="preserve"> Deak, </w:t>
      </w:r>
      <w:r w:rsidR="00DC2807" w:rsidRPr="00B84ECE">
        <w:rPr>
          <w:rFonts w:ascii="Times New Roman" w:hAnsi="Times New Roman" w:cs="Times New Roman"/>
          <w:sz w:val="24"/>
          <w:szCs w:val="24"/>
        </w:rPr>
        <w:t>“T</w:t>
      </w:r>
      <w:r w:rsidRPr="00B84ECE">
        <w:rPr>
          <w:rFonts w:ascii="Times New Roman" w:hAnsi="Times New Roman" w:cs="Times New Roman"/>
          <w:sz w:val="24"/>
          <w:szCs w:val="24"/>
        </w:rPr>
        <w:t xml:space="preserve">he Incomprehensible Holocaust,” </w:t>
      </w:r>
      <w:r w:rsidRPr="00B84ECE">
        <w:rPr>
          <w:rFonts w:ascii="Times New Roman" w:hAnsi="Times New Roman" w:cs="Times New Roman"/>
          <w:i/>
          <w:sz w:val="24"/>
          <w:szCs w:val="24"/>
        </w:rPr>
        <w:t xml:space="preserve">New York Review of Books, </w:t>
      </w:r>
      <w:r w:rsidR="00DC2807" w:rsidRPr="00B84ECE">
        <w:rPr>
          <w:rFonts w:ascii="Times New Roman" w:hAnsi="Times New Roman" w:cs="Times New Roman"/>
          <w:sz w:val="24"/>
          <w:szCs w:val="24"/>
        </w:rPr>
        <w:t xml:space="preserve">28 Sept. 1989, at 66, quoted in Sanford Levinson, </w:t>
      </w:r>
      <w:r w:rsidR="00DC2807" w:rsidRPr="00B84ECE">
        <w:rPr>
          <w:rFonts w:ascii="Times New Roman" w:hAnsi="Times New Roman" w:cs="Times New Roman"/>
          <w:i/>
          <w:sz w:val="24"/>
          <w:szCs w:val="24"/>
        </w:rPr>
        <w:t xml:space="preserve">The Confrontation of Religious Faith and Civil Religion:  Catholics Becoming Justices, </w:t>
      </w:r>
      <w:r w:rsidR="00DC2807" w:rsidRPr="00B84ECE">
        <w:rPr>
          <w:rFonts w:ascii="Times New Roman" w:hAnsi="Times New Roman" w:cs="Times New Roman"/>
          <w:sz w:val="24"/>
          <w:szCs w:val="24"/>
        </w:rPr>
        <w:t xml:space="preserve">in Levinson, WRESTLING WITH DIVERSITY 192 (2003).  </w:t>
      </w:r>
    </w:p>
  </w:footnote>
  <w:footnote w:id="38">
    <w:p w14:paraId="43585DB1" w14:textId="4EDD12C8" w:rsidR="00DE5167" w:rsidRPr="00B84ECE" w:rsidRDefault="00DE5167">
      <w:pPr>
        <w:pStyle w:val="FootnoteText"/>
        <w:rPr>
          <w:rFonts w:ascii="Times New Roman" w:hAnsi="Times New Roman" w:cs="Times New Roman"/>
          <w:sz w:val="24"/>
          <w:szCs w:val="24"/>
        </w:rPr>
      </w:pPr>
      <w:r w:rsidRPr="00B84ECE">
        <w:rPr>
          <w:rStyle w:val="FootnoteReference"/>
          <w:rFonts w:ascii="Times New Roman" w:hAnsi="Times New Roman" w:cs="Times New Roman"/>
          <w:sz w:val="24"/>
          <w:szCs w:val="24"/>
        </w:rPr>
        <w:footnoteRef/>
      </w:r>
      <w:r w:rsidRPr="00B84ECE">
        <w:rPr>
          <w:rFonts w:ascii="Times New Roman" w:hAnsi="Times New Roman" w:cs="Times New Roman"/>
          <w:sz w:val="24"/>
          <w:szCs w:val="24"/>
        </w:rPr>
        <w:t xml:space="preserve"> </w:t>
      </w:r>
      <w:r w:rsidR="00BA5556" w:rsidRPr="00B84ECE">
        <w:rPr>
          <w:rFonts w:ascii="Times New Roman" w:hAnsi="Times New Roman" w:cs="Times New Roman"/>
          <w:sz w:val="24"/>
          <w:szCs w:val="24"/>
        </w:rPr>
        <w:t xml:space="preserve"> All of the quotations in this paragraph come from Levinson, id., at 210-211.  </w:t>
      </w:r>
    </w:p>
  </w:footnote>
  <w:footnote w:id="39">
    <w:p w14:paraId="08DD228B" w14:textId="77777777" w:rsidR="00DC2807" w:rsidRPr="00B84ECE" w:rsidRDefault="00DC2807">
      <w:pPr>
        <w:pStyle w:val="FootnoteText"/>
        <w:rPr>
          <w:rFonts w:ascii="Times New Roman" w:hAnsi="Times New Roman" w:cs="Times New Roman"/>
          <w:sz w:val="24"/>
          <w:szCs w:val="24"/>
        </w:rPr>
      </w:pPr>
      <w:r w:rsidRPr="00B84ECE">
        <w:rPr>
          <w:rStyle w:val="FootnoteReference"/>
          <w:rFonts w:ascii="Times New Roman" w:hAnsi="Times New Roman" w:cs="Times New Roman"/>
          <w:sz w:val="24"/>
          <w:szCs w:val="24"/>
        </w:rPr>
        <w:footnoteRef/>
      </w:r>
      <w:r w:rsidRPr="00B84ECE">
        <w:rPr>
          <w:rFonts w:ascii="Times New Roman" w:hAnsi="Times New Roman" w:cs="Times New Roman"/>
          <w:sz w:val="24"/>
          <w:szCs w:val="24"/>
        </w:rPr>
        <w:t xml:space="preserve"> See id. at 215 n. 64.</w:t>
      </w:r>
    </w:p>
  </w:footnote>
  <w:footnote w:id="40">
    <w:p w14:paraId="2682E7AB" w14:textId="531AFF05" w:rsidR="00DC2807" w:rsidRPr="00B84ECE" w:rsidRDefault="00DC2807">
      <w:pPr>
        <w:pStyle w:val="FootnoteText"/>
        <w:rPr>
          <w:rFonts w:ascii="Times New Roman" w:hAnsi="Times New Roman" w:cs="Times New Roman"/>
          <w:sz w:val="24"/>
          <w:szCs w:val="24"/>
        </w:rPr>
      </w:pPr>
      <w:r w:rsidRPr="00B84ECE">
        <w:rPr>
          <w:rStyle w:val="FootnoteReference"/>
          <w:rFonts w:ascii="Times New Roman" w:hAnsi="Times New Roman" w:cs="Times New Roman"/>
          <w:sz w:val="24"/>
          <w:szCs w:val="24"/>
        </w:rPr>
        <w:footnoteRef/>
      </w:r>
      <w:r w:rsidRPr="00B84ECE">
        <w:rPr>
          <w:rFonts w:ascii="Times New Roman" w:hAnsi="Times New Roman" w:cs="Times New Roman"/>
          <w:sz w:val="24"/>
          <w:szCs w:val="24"/>
        </w:rPr>
        <w:t xml:space="preserve"> </w:t>
      </w:r>
      <w:r w:rsidRPr="00B84ECE">
        <w:rPr>
          <w:rFonts w:ascii="Times New Roman" w:hAnsi="Times New Roman" w:cs="Times New Roman"/>
          <w:i/>
          <w:sz w:val="24"/>
          <w:szCs w:val="24"/>
        </w:rPr>
        <w:t xml:space="preserve">First Things, </w:t>
      </w:r>
      <w:r w:rsidRPr="00B84ECE">
        <w:rPr>
          <w:rFonts w:ascii="Times New Roman" w:hAnsi="Times New Roman" w:cs="Times New Roman"/>
          <w:sz w:val="24"/>
          <w:szCs w:val="24"/>
        </w:rPr>
        <w:t xml:space="preserve">May 2002, at 17-21. I discuss this speech in </w:t>
      </w:r>
      <w:r w:rsidRPr="00B84ECE">
        <w:rPr>
          <w:rFonts w:ascii="Times New Roman" w:hAnsi="Times New Roman" w:cs="Times New Roman"/>
          <w:i/>
          <w:sz w:val="24"/>
          <w:szCs w:val="24"/>
        </w:rPr>
        <w:t xml:space="preserve">Wrestling With Diversity, </w:t>
      </w:r>
      <w:r w:rsidRPr="00B84ECE">
        <w:rPr>
          <w:rFonts w:ascii="Times New Roman" w:hAnsi="Times New Roman" w:cs="Times New Roman"/>
          <w:sz w:val="24"/>
          <w:szCs w:val="24"/>
        </w:rPr>
        <w:t xml:space="preserve">at 252-255, where the quotations </w:t>
      </w:r>
      <w:r w:rsidR="00B84ECE" w:rsidRPr="00B84ECE">
        <w:rPr>
          <w:rFonts w:ascii="Times New Roman" w:hAnsi="Times New Roman" w:cs="Times New Roman"/>
          <w:sz w:val="24"/>
          <w:szCs w:val="24"/>
        </w:rPr>
        <w:t xml:space="preserve">from Justice Scalia </w:t>
      </w:r>
      <w:r w:rsidRPr="00B84ECE">
        <w:rPr>
          <w:rFonts w:ascii="Times New Roman" w:hAnsi="Times New Roman" w:cs="Times New Roman"/>
          <w:sz w:val="24"/>
          <w:szCs w:val="24"/>
        </w:rPr>
        <w:t xml:space="preserve">in this paragraph appear.  </w:t>
      </w:r>
    </w:p>
  </w:footnote>
  <w:footnote w:id="41">
    <w:p w14:paraId="4B7205B4" w14:textId="00B5A22B" w:rsidR="00B84ECE" w:rsidRPr="00B84ECE" w:rsidRDefault="00DE5167" w:rsidP="00B84ECE">
      <w:pPr>
        <w:shd w:val="clear" w:color="auto" w:fill="FFFFFF"/>
        <w:spacing w:before="75" w:after="75"/>
        <w:outlineLvl w:val="3"/>
        <w:rPr>
          <w:rFonts w:ascii="Times New Roman" w:eastAsia="Times New Roman" w:hAnsi="Times New Roman" w:cs="Times New Roman"/>
          <w:b/>
          <w:bCs/>
          <w:color w:val="000000"/>
          <w:sz w:val="24"/>
          <w:szCs w:val="24"/>
        </w:rPr>
      </w:pPr>
      <w:r w:rsidRPr="00B84ECE">
        <w:rPr>
          <w:rStyle w:val="FootnoteReference"/>
          <w:rFonts w:ascii="Times New Roman" w:hAnsi="Times New Roman" w:cs="Times New Roman"/>
          <w:sz w:val="24"/>
          <w:szCs w:val="24"/>
        </w:rPr>
        <w:footnoteRef/>
      </w:r>
      <w:r w:rsidRPr="00B84ECE">
        <w:rPr>
          <w:rFonts w:ascii="Times New Roman" w:hAnsi="Times New Roman" w:cs="Times New Roman"/>
          <w:sz w:val="24"/>
          <w:szCs w:val="24"/>
        </w:rPr>
        <w:t xml:space="preserve"> </w:t>
      </w:r>
      <w:r w:rsidR="00B84ECE" w:rsidRPr="00B84ECE">
        <w:rPr>
          <w:rFonts w:ascii="Times New Roman" w:hAnsi="Times New Roman" w:cs="Times New Roman"/>
          <w:sz w:val="24"/>
          <w:szCs w:val="24"/>
        </w:rPr>
        <w:t>“</w:t>
      </w:r>
      <w:r w:rsidR="00B84ECE" w:rsidRPr="00B84ECE">
        <w:rPr>
          <w:rFonts w:ascii="Times New Roman" w:hAnsi="Times New Roman" w:cs="Times New Roman"/>
          <w:color w:val="000000"/>
          <w:sz w:val="24"/>
          <w:szCs w:val="24"/>
        </w:rPr>
        <w:t>From this day forward, I no longer shall tinker with the machinery of death.</w:t>
      </w:r>
      <w:r w:rsidR="00B84ECE" w:rsidRPr="00B84ECE">
        <w:rPr>
          <w:rFonts w:ascii="Times New Roman" w:hAnsi="Times New Roman" w:cs="Times New Roman"/>
          <w:color w:val="000000"/>
          <w:sz w:val="24"/>
          <w:szCs w:val="24"/>
        </w:rPr>
        <w:t xml:space="preserve">”  Justice Blackmun, dissenting from denial of certiorari, in </w:t>
      </w:r>
      <w:r w:rsidR="00B84ECE" w:rsidRPr="00B84ECE">
        <w:rPr>
          <w:rFonts w:ascii="Times New Roman" w:hAnsi="Times New Roman" w:cs="Times New Roman"/>
          <w:i/>
          <w:color w:val="000000"/>
          <w:sz w:val="24"/>
          <w:szCs w:val="24"/>
        </w:rPr>
        <w:t xml:space="preserve">Callins v. James, </w:t>
      </w:r>
      <w:r w:rsidR="00B84ECE" w:rsidRPr="00B84ECE">
        <w:rPr>
          <w:rFonts w:ascii="Times New Roman" w:hAnsi="Times New Roman" w:cs="Times New Roman"/>
          <w:color w:val="000000"/>
          <w:sz w:val="24"/>
          <w:szCs w:val="24"/>
        </w:rPr>
        <w:t xml:space="preserve">510 U.S. 1141 (1994).  </w:t>
      </w:r>
    </w:p>
    <w:p w14:paraId="661B3E11" w14:textId="50B24B38" w:rsidR="00DE5167" w:rsidRPr="00B84ECE" w:rsidRDefault="00DE5167">
      <w:pPr>
        <w:pStyle w:val="FootnoteText"/>
        <w:rPr>
          <w:rFonts w:ascii="Times New Roman" w:hAnsi="Times New Roman" w:cs="Times New Roman"/>
          <w:sz w:val="24"/>
          <w:szCs w:val="24"/>
        </w:rPr>
      </w:pPr>
    </w:p>
  </w:footnote>
  <w:footnote w:id="42">
    <w:p w14:paraId="22BB754E" w14:textId="77777777" w:rsidR="00DC2807" w:rsidRPr="00B84ECE" w:rsidRDefault="00DC2807">
      <w:pPr>
        <w:pStyle w:val="FootnoteText"/>
        <w:rPr>
          <w:rFonts w:ascii="Times New Roman" w:hAnsi="Times New Roman" w:cs="Times New Roman"/>
          <w:sz w:val="24"/>
          <w:szCs w:val="24"/>
        </w:rPr>
      </w:pPr>
      <w:r w:rsidRPr="00B84ECE">
        <w:rPr>
          <w:rStyle w:val="FootnoteReference"/>
          <w:rFonts w:ascii="Times New Roman" w:hAnsi="Times New Roman" w:cs="Times New Roman"/>
          <w:sz w:val="24"/>
          <w:szCs w:val="24"/>
        </w:rPr>
        <w:footnoteRef/>
      </w:r>
      <w:r w:rsidRPr="00B84ECE">
        <w:rPr>
          <w:rFonts w:ascii="Times New Roman" w:hAnsi="Times New Roman" w:cs="Times New Roman"/>
          <w:sz w:val="24"/>
          <w:szCs w:val="24"/>
        </w:rPr>
        <w:t xml:space="preserve"> See id. at 254.</w:t>
      </w:r>
    </w:p>
  </w:footnote>
  <w:footnote w:id="43">
    <w:p w14:paraId="67AA6E4E" w14:textId="625DECD5" w:rsidR="00B84ECE" w:rsidRPr="00B84ECE" w:rsidRDefault="00B84ECE" w:rsidP="00B84ECE">
      <w:pPr>
        <w:shd w:val="clear" w:color="auto" w:fill="FFFFFF"/>
        <w:spacing w:before="75" w:after="75"/>
        <w:outlineLvl w:val="3"/>
        <w:rPr>
          <w:rFonts w:ascii="Georgia" w:eastAsia="Times New Roman" w:hAnsi="Georgia" w:cs="Arial"/>
          <w:b/>
          <w:bCs/>
          <w:color w:val="000000"/>
          <w:sz w:val="23"/>
          <w:szCs w:val="23"/>
        </w:rPr>
      </w:pPr>
      <w:r>
        <w:rPr>
          <w:rStyle w:val="FootnoteReference"/>
        </w:rPr>
        <w:footnoteRef/>
      </w:r>
      <w:r>
        <w:t xml:space="preserve"> See, e.g., </w:t>
      </w:r>
      <w:hyperlink r:id="rId12" w:history="1">
        <w:r w:rsidRPr="000A3E7B">
          <w:rPr>
            <w:rStyle w:val="Hyperlink"/>
          </w:rPr>
          <w:t>http://www.hri.org/MFA/syntagma/</w:t>
        </w:r>
      </w:hyperlink>
      <w:r>
        <w:t xml:space="preserve"> </w:t>
      </w:r>
    </w:p>
    <w:p w14:paraId="25C67735" w14:textId="7CA278D4" w:rsidR="00B84ECE" w:rsidRDefault="00B84ECE">
      <w:pPr>
        <w:pStyle w:val="FootnoteText"/>
      </w:pPr>
    </w:p>
  </w:footnote>
  <w:footnote w:id="44">
    <w:p w14:paraId="072D1288" w14:textId="77777777" w:rsidR="0066558C" w:rsidRPr="00B84ECE" w:rsidRDefault="0066558C">
      <w:pPr>
        <w:pStyle w:val="FootnoteText"/>
        <w:rPr>
          <w:rFonts w:ascii="Times New Roman" w:hAnsi="Times New Roman" w:cs="Times New Roman"/>
          <w:sz w:val="24"/>
          <w:szCs w:val="24"/>
        </w:rPr>
      </w:pPr>
      <w:r w:rsidRPr="00B84ECE">
        <w:rPr>
          <w:rStyle w:val="FootnoteReference"/>
          <w:rFonts w:ascii="Times New Roman" w:hAnsi="Times New Roman" w:cs="Times New Roman"/>
          <w:sz w:val="24"/>
          <w:szCs w:val="24"/>
        </w:rPr>
        <w:footnoteRef/>
      </w:r>
      <w:r w:rsidRPr="00B84ECE">
        <w:rPr>
          <w:rFonts w:ascii="Times New Roman" w:hAnsi="Times New Roman" w:cs="Times New Roman"/>
          <w:sz w:val="24"/>
          <w:szCs w:val="24"/>
        </w:rPr>
        <w:t xml:space="preserve"> </w:t>
      </w:r>
      <w:hyperlink r:id="rId13" w:history="1">
        <w:r w:rsidRPr="00B84ECE">
          <w:rPr>
            <w:rStyle w:val="Hyperlink"/>
            <w:rFonts w:ascii="Times New Roman" w:hAnsi="Times New Roman" w:cs="Times New Roman"/>
            <w:sz w:val="24"/>
            <w:szCs w:val="24"/>
          </w:rPr>
          <w:t>http://www.pakistani.org/pakistan/constitution/preamble.html</w:t>
        </w:r>
      </w:hyperlink>
      <w:r w:rsidRPr="00B84ECE">
        <w:rPr>
          <w:rFonts w:ascii="Times New Roman" w:hAnsi="Times New Roman" w:cs="Times New Roman"/>
          <w:sz w:val="24"/>
          <w:szCs w:val="24"/>
        </w:rPr>
        <w:t xml:space="preserve"> </w:t>
      </w:r>
    </w:p>
  </w:footnote>
  <w:footnote w:id="45">
    <w:p w14:paraId="265F03D1" w14:textId="3D01331B" w:rsidR="00830B57" w:rsidRPr="00830B57" w:rsidRDefault="00DE5167" w:rsidP="00830B57">
      <w:pPr>
        <w:pStyle w:val="NormalWeb"/>
        <w:rPr>
          <w:color w:val="auto"/>
          <w:lang w:val="en"/>
        </w:rPr>
      </w:pPr>
      <w:r w:rsidRPr="00830B57">
        <w:rPr>
          <w:rStyle w:val="FootnoteReference"/>
          <w:color w:val="auto"/>
        </w:rPr>
        <w:footnoteRef/>
      </w:r>
      <w:r w:rsidRPr="00830B57">
        <w:rPr>
          <w:color w:val="auto"/>
        </w:rPr>
        <w:t xml:space="preserve"> </w:t>
      </w:r>
      <w:r w:rsidR="00830B57" w:rsidRPr="00830B57">
        <w:rPr>
          <w:color w:val="auto"/>
        </w:rPr>
        <w:t>198 U.S. 45, 76 (1905).  The Constitution “</w:t>
      </w:r>
      <w:r w:rsidR="00830B57" w:rsidRPr="00830B57">
        <w:rPr>
          <w:color w:val="auto"/>
          <w:lang w:val="en"/>
        </w:rPr>
        <w:t>is made for people of fundamentally differing views, and the accident of our finding certain opinions natural and familiar or novel and even shocking ought not to conclude our judgment upon the question whether statutes embodying them conflict with the Constitution of the United States.</w:t>
      </w:r>
    </w:p>
    <w:p w14:paraId="672CA147" w14:textId="55AD1B6A" w:rsidR="00DE5167" w:rsidRPr="00B84ECE" w:rsidRDefault="00DE5167">
      <w:pPr>
        <w:pStyle w:val="FootnoteText"/>
        <w:rPr>
          <w:rFonts w:ascii="Times New Roman" w:hAnsi="Times New Roman" w:cs="Times New Roman"/>
          <w:sz w:val="24"/>
          <w:szCs w:val="24"/>
        </w:rPr>
      </w:pPr>
    </w:p>
  </w:footnote>
  <w:footnote w:id="46">
    <w:p w14:paraId="3434E9E3" w14:textId="77777777" w:rsidR="00830B57" w:rsidRPr="00B84ECE" w:rsidRDefault="00830B57" w:rsidP="00830B57">
      <w:pPr>
        <w:pStyle w:val="FootnoteText"/>
        <w:rPr>
          <w:rFonts w:ascii="Times New Roman" w:hAnsi="Times New Roman" w:cs="Times New Roman"/>
          <w:sz w:val="24"/>
          <w:szCs w:val="24"/>
        </w:rPr>
      </w:pPr>
      <w:r w:rsidRPr="00B84ECE">
        <w:rPr>
          <w:rStyle w:val="FootnoteReference"/>
          <w:rFonts w:ascii="Times New Roman" w:hAnsi="Times New Roman" w:cs="Times New Roman"/>
          <w:sz w:val="24"/>
          <w:szCs w:val="24"/>
        </w:rPr>
        <w:footnoteRef/>
      </w:r>
      <w:r w:rsidRPr="00B84ECE">
        <w:rPr>
          <w:rFonts w:ascii="Times New Roman" w:hAnsi="Times New Roman" w:cs="Times New Roman"/>
          <w:sz w:val="24"/>
          <w:szCs w:val="24"/>
        </w:rPr>
        <w:t xml:space="preserve"> Arye Carmon, “Introduction,” in Arye Carmon and Meir Shamgar, eds., </w:t>
      </w:r>
      <w:r w:rsidRPr="00B84ECE">
        <w:rPr>
          <w:rFonts w:ascii="Times New Roman" w:hAnsi="Times New Roman" w:cs="Times New Roman"/>
          <w:i/>
          <w:sz w:val="24"/>
          <w:szCs w:val="24"/>
        </w:rPr>
        <w:t xml:space="preserve">Constitution by Consensus </w:t>
      </w:r>
      <w:r w:rsidRPr="00B84ECE">
        <w:rPr>
          <w:rFonts w:ascii="Times New Roman" w:hAnsi="Times New Roman" w:cs="Times New Roman"/>
          <w:sz w:val="24"/>
          <w:szCs w:val="24"/>
        </w:rPr>
        <w:t xml:space="preserve"> 17 (Jerusalem, Israel Democracy institute, 2007). </w:t>
      </w:r>
    </w:p>
  </w:footnote>
  <w:footnote w:id="47">
    <w:p w14:paraId="069562D3" w14:textId="67B18FA6" w:rsidR="00DE5167" w:rsidRPr="00B84ECE" w:rsidRDefault="00DE5167">
      <w:pPr>
        <w:pStyle w:val="FootnoteText"/>
        <w:rPr>
          <w:rFonts w:ascii="Times New Roman" w:hAnsi="Times New Roman" w:cs="Times New Roman"/>
          <w:sz w:val="24"/>
          <w:szCs w:val="24"/>
        </w:rPr>
      </w:pPr>
      <w:r w:rsidRPr="00B84ECE">
        <w:rPr>
          <w:rStyle w:val="FootnoteReference"/>
          <w:rFonts w:ascii="Times New Roman" w:hAnsi="Times New Roman" w:cs="Times New Roman"/>
          <w:sz w:val="24"/>
          <w:szCs w:val="24"/>
        </w:rPr>
        <w:footnoteRef/>
      </w:r>
      <w:r w:rsidRPr="00B84ECE">
        <w:rPr>
          <w:rFonts w:ascii="Times New Roman" w:hAnsi="Times New Roman" w:cs="Times New Roman"/>
          <w:sz w:val="24"/>
          <w:szCs w:val="24"/>
        </w:rPr>
        <w:t xml:space="preserve"> </w:t>
      </w:r>
      <w:r w:rsidR="00830B57">
        <w:rPr>
          <w:rFonts w:ascii="Times New Roman" w:hAnsi="Times New Roman" w:cs="Times New Roman"/>
          <w:sz w:val="24"/>
          <w:szCs w:val="24"/>
        </w:rPr>
        <w:t xml:space="preserve">See pp. 23ff.  </w:t>
      </w:r>
    </w:p>
  </w:footnote>
  <w:footnote w:id="48">
    <w:p w14:paraId="2BFCEC81" w14:textId="77777777" w:rsidR="0066558C" w:rsidRPr="00B84ECE" w:rsidRDefault="0066558C">
      <w:pPr>
        <w:pStyle w:val="FootnoteText"/>
        <w:rPr>
          <w:rFonts w:ascii="Times New Roman" w:hAnsi="Times New Roman" w:cs="Times New Roman"/>
          <w:sz w:val="24"/>
          <w:szCs w:val="24"/>
        </w:rPr>
      </w:pPr>
      <w:r w:rsidRPr="00B84ECE">
        <w:rPr>
          <w:rStyle w:val="FootnoteReference"/>
          <w:rFonts w:ascii="Times New Roman" w:hAnsi="Times New Roman" w:cs="Times New Roman"/>
          <w:sz w:val="24"/>
          <w:szCs w:val="24"/>
        </w:rPr>
        <w:footnoteRef/>
      </w:r>
      <w:r w:rsidRPr="00B84ECE">
        <w:rPr>
          <w:rFonts w:ascii="Times New Roman" w:hAnsi="Times New Roman" w:cs="Times New Roman"/>
          <w:sz w:val="24"/>
          <w:szCs w:val="24"/>
        </w:rPr>
        <w:t xml:space="preserve"> http://www.whitehouse.gov/blog/2010/12/07/president-obama-middle-class-tax-cuts-and-unemployment-insurance-agreement-a-good-de.</w:t>
      </w:r>
    </w:p>
  </w:footnote>
  <w:footnote w:id="49">
    <w:p w14:paraId="12BD613E" w14:textId="60B821D5" w:rsidR="00DE5167" w:rsidRPr="00B84ECE" w:rsidRDefault="00DE5167">
      <w:pPr>
        <w:pStyle w:val="FootnoteText"/>
        <w:rPr>
          <w:rFonts w:ascii="Times New Roman" w:hAnsi="Times New Roman" w:cs="Times New Roman"/>
          <w:sz w:val="24"/>
          <w:szCs w:val="24"/>
        </w:rPr>
      </w:pPr>
      <w:r w:rsidRPr="00B84ECE">
        <w:rPr>
          <w:rStyle w:val="FootnoteReference"/>
          <w:rFonts w:ascii="Times New Roman" w:hAnsi="Times New Roman" w:cs="Times New Roman"/>
          <w:sz w:val="24"/>
          <w:szCs w:val="24"/>
        </w:rPr>
        <w:footnoteRef/>
      </w:r>
      <w:r w:rsidRPr="00B84ECE">
        <w:rPr>
          <w:rFonts w:ascii="Times New Roman" w:hAnsi="Times New Roman" w:cs="Times New Roman"/>
          <w:sz w:val="24"/>
          <w:szCs w:val="24"/>
        </w:rPr>
        <w:t xml:space="preserve"> </w:t>
      </w:r>
      <w:r w:rsidR="00D519D9" w:rsidRPr="00B84ECE">
        <w:rPr>
          <w:rFonts w:ascii="Times New Roman" w:hAnsi="Times New Roman" w:cs="Times New Roman"/>
          <w:sz w:val="24"/>
          <w:szCs w:val="24"/>
        </w:rPr>
        <w:t xml:space="preserve">Hanna Lerner, </w:t>
      </w:r>
      <w:r w:rsidR="00D519D9" w:rsidRPr="00B84ECE">
        <w:rPr>
          <w:rFonts w:ascii="Times New Roman" w:hAnsi="Times New Roman" w:cs="Times New Roman"/>
          <w:i/>
          <w:sz w:val="24"/>
          <w:szCs w:val="24"/>
        </w:rPr>
        <w:t>Making Constitutions in Highly Divided Societies</w:t>
      </w:r>
      <w:r w:rsidR="00D519D9" w:rsidRPr="00B84ECE">
        <w:rPr>
          <w:rFonts w:ascii="Times New Roman" w:hAnsi="Times New Roman" w:cs="Times New Roman"/>
          <w:sz w:val="24"/>
          <w:szCs w:val="24"/>
        </w:rPr>
        <w:t xml:space="preserve"> 63 (2011), quoting Minister of Welfare Rabbi Yitzhak Meir Levi, </w:t>
      </w:r>
      <w:r w:rsidR="00D519D9" w:rsidRPr="00B84ECE">
        <w:rPr>
          <w:rFonts w:ascii="Times New Roman" w:hAnsi="Times New Roman" w:cs="Times New Roman"/>
          <w:i/>
          <w:sz w:val="24"/>
          <w:szCs w:val="24"/>
        </w:rPr>
        <w:t>Knesset Record</w:t>
      </w:r>
      <w:r w:rsidR="00D519D9" w:rsidRPr="00B84ECE">
        <w:rPr>
          <w:rFonts w:ascii="Times New Roman" w:hAnsi="Times New Roman" w:cs="Times New Roman"/>
          <w:sz w:val="24"/>
          <w:szCs w:val="24"/>
        </w:rPr>
        <w:t xml:space="preserve"> 4 (1950): 812</w:t>
      </w:r>
      <w:r w:rsidR="00830B57">
        <w:rPr>
          <w:rFonts w:ascii="Times New Roman" w:hAnsi="Times New Roman" w:cs="Times New Roman"/>
          <w:sz w:val="24"/>
          <w:szCs w:val="24"/>
        </w:rPr>
        <w:t>.</w:t>
      </w:r>
    </w:p>
  </w:footnote>
  <w:footnote w:id="50">
    <w:p w14:paraId="212E0A42" w14:textId="77777777" w:rsidR="00830B57" w:rsidRPr="00B84ECE" w:rsidRDefault="00830B57" w:rsidP="00830B57">
      <w:pPr>
        <w:pStyle w:val="FootnoteText"/>
        <w:rPr>
          <w:rFonts w:ascii="Times New Roman" w:hAnsi="Times New Roman" w:cs="Times New Roman"/>
          <w:sz w:val="24"/>
          <w:szCs w:val="24"/>
        </w:rPr>
      </w:pPr>
      <w:r w:rsidRPr="00B84ECE">
        <w:rPr>
          <w:rStyle w:val="FootnoteReference"/>
          <w:rFonts w:ascii="Times New Roman" w:hAnsi="Times New Roman" w:cs="Times New Roman"/>
          <w:sz w:val="24"/>
          <w:szCs w:val="24"/>
        </w:rPr>
        <w:footnoteRef/>
      </w:r>
      <w:r w:rsidRPr="00B84ECE">
        <w:rPr>
          <w:rFonts w:ascii="Times New Roman" w:hAnsi="Times New Roman" w:cs="Times New Roman"/>
          <w:sz w:val="24"/>
          <w:szCs w:val="24"/>
        </w:rPr>
        <w:t xml:space="preserve"> </w:t>
      </w:r>
      <w:r>
        <w:rPr>
          <w:rFonts w:ascii="Times New Roman" w:hAnsi="Times New Roman" w:cs="Times New Roman"/>
          <w:sz w:val="24"/>
          <w:szCs w:val="24"/>
        </w:rPr>
        <w:t xml:space="preserve">Id. at </w:t>
      </w:r>
      <w:r w:rsidRPr="00B84ECE">
        <w:rPr>
          <w:rFonts w:ascii="Times New Roman" w:hAnsi="Times New Roman" w:cs="Times New Roman"/>
          <w:sz w:val="24"/>
          <w:szCs w:val="24"/>
        </w:rPr>
        <w:t xml:space="preserve">p. 64, quoting </w:t>
      </w:r>
      <w:r w:rsidRPr="00B84ECE">
        <w:rPr>
          <w:rFonts w:ascii="Times New Roman" w:hAnsi="Times New Roman" w:cs="Times New Roman"/>
          <w:sz w:val="24"/>
          <w:szCs w:val="24"/>
          <w:lang w:val="de-DE"/>
        </w:rPr>
        <w:t xml:space="preserve">Meir-David Levonstein, </w:t>
      </w:r>
      <w:r w:rsidRPr="00B84ECE">
        <w:rPr>
          <w:rFonts w:ascii="Times New Roman" w:hAnsi="Times New Roman" w:cs="Times New Roman"/>
          <w:i/>
          <w:sz w:val="24"/>
          <w:szCs w:val="24"/>
        </w:rPr>
        <w:t>Knesset Record</w:t>
      </w:r>
      <w:r w:rsidRPr="00B84ECE">
        <w:rPr>
          <w:rFonts w:ascii="Times New Roman" w:hAnsi="Times New Roman" w:cs="Times New Roman"/>
          <w:sz w:val="24"/>
          <w:szCs w:val="24"/>
        </w:rPr>
        <w:t xml:space="preserve"> 4 (1950): 744.</w:t>
      </w:r>
    </w:p>
  </w:footnote>
  <w:footnote w:id="51">
    <w:p w14:paraId="1F47372B" w14:textId="299DD9A8" w:rsidR="00DE5167" w:rsidRPr="00B84ECE" w:rsidRDefault="00DE5167">
      <w:pPr>
        <w:pStyle w:val="FootnoteText"/>
        <w:rPr>
          <w:rFonts w:ascii="Times New Roman" w:hAnsi="Times New Roman" w:cs="Times New Roman"/>
          <w:sz w:val="24"/>
          <w:szCs w:val="24"/>
        </w:rPr>
      </w:pPr>
      <w:r w:rsidRPr="00B84ECE">
        <w:rPr>
          <w:rStyle w:val="FootnoteReference"/>
          <w:rFonts w:ascii="Times New Roman" w:hAnsi="Times New Roman" w:cs="Times New Roman"/>
          <w:sz w:val="24"/>
          <w:szCs w:val="24"/>
        </w:rPr>
        <w:footnoteRef/>
      </w:r>
      <w:r w:rsidRPr="00B84ECE">
        <w:rPr>
          <w:rFonts w:ascii="Times New Roman" w:hAnsi="Times New Roman" w:cs="Times New Roman"/>
          <w:sz w:val="24"/>
          <w:szCs w:val="24"/>
        </w:rPr>
        <w:t xml:space="preserve"> </w:t>
      </w:r>
      <w:r w:rsidR="00D519D9" w:rsidRPr="00B84ECE">
        <w:rPr>
          <w:rFonts w:ascii="Times New Roman" w:hAnsi="Times New Roman" w:cs="Times New Roman"/>
          <w:sz w:val="24"/>
          <w:szCs w:val="24"/>
        </w:rPr>
        <w:t xml:space="preserve"> This, and many other appropriate quotations, can be found at </w:t>
      </w:r>
      <w:hyperlink r:id="rId14" w:history="1">
        <w:r w:rsidR="00D519D9" w:rsidRPr="00B84ECE">
          <w:rPr>
            <w:rStyle w:val="Hyperlink"/>
            <w:rFonts w:ascii="Times New Roman" w:hAnsi="Times New Roman" w:cs="Times New Roman"/>
            <w:sz w:val="24"/>
            <w:szCs w:val="24"/>
          </w:rPr>
          <w:t>http://lifespathway.com/Peace.aspx</w:t>
        </w:r>
      </w:hyperlink>
      <w:r w:rsidR="00D519D9" w:rsidRPr="00B84ECE">
        <w:rPr>
          <w:rFonts w:ascii="Times New Roman" w:hAnsi="Times New Roman" w:cs="Times New Roman"/>
          <w:sz w:val="24"/>
          <w:szCs w:val="24"/>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60A3"/>
    <w:rsid w:val="00001ED3"/>
    <w:rsid w:val="000647C0"/>
    <w:rsid w:val="000707A7"/>
    <w:rsid w:val="00092822"/>
    <w:rsid w:val="00097ADB"/>
    <w:rsid w:val="000A006E"/>
    <w:rsid w:val="000B4E41"/>
    <w:rsid w:val="000B583F"/>
    <w:rsid w:val="00141680"/>
    <w:rsid w:val="001560A3"/>
    <w:rsid w:val="00186411"/>
    <w:rsid w:val="001A02F9"/>
    <w:rsid w:val="001A3213"/>
    <w:rsid w:val="001C0DFE"/>
    <w:rsid w:val="001D49B1"/>
    <w:rsid w:val="001F476F"/>
    <w:rsid w:val="00241B15"/>
    <w:rsid w:val="00271F41"/>
    <w:rsid w:val="002D1DAA"/>
    <w:rsid w:val="00307110"/>
    <w:rsid w:val="00351623"/>
    <w:rsid w:val="00372A60"/>
    <w:rsid w:val="003E6EEC"/>
    <w:rsid w:val="00424854"/>
    <w:rsid w:val="004419CF"/>
    <w:rsid w:val="0048182E"/>
    <w:rsid w:val="00497E9B"/>
    <w:rsid w:val="004C64F5"/>
    <w:rsid w:val="005007DE"/>
    <w:rsid w:val="0052419D"/>
    <w:rsid w:val="0059374D"/>
    <w:rsid w:val="00595CA6"/>
    <w:rsid w:val="005C06D1"/>
    <w:rsid w:val="005D2BF0"/>
    <w:rsid w:val="005E1DC7"/>
    <w:rsid w:val="006023BE"/>
    <w:rsid w:val="00630D8E"/>
    <w:rsid w:val="00652F22"/>
    <w:rsid w:val="0066558C"/>
    <w:rsid w:val="006C2F2F"/>
    <w:rsid w:val="006E2D76"/>
    <w:rsid w:val="00705BAB"/>
    <w:rsid w:val="007215C3"/>
    <w:rsid w:val="007546F6"/>
    <w:rsid w:val="00830B57"/>
    <w:rsid w:val="008837A6"/>
    <w:rsid w:val="008C1483"/>
    <w:rsid w:val="009105C0"/>
    <w:rsid w:val="00920BA5"/>
    <w:rsid w:val="009B2952"/>
    <w:rsid w:val="009F42F4"/>
    <w:rsid w:val="00A03E25"/>
    <w:rsid w:val="00A3076E"/>
    <w:rsid w:val="00A37CF7"/>
    <w:rsid w:val="00A403C5"/>
    <w:rsid w:val="00A43BF8"/>
    <w:rsid w:val="00A725AE"/>
    <w:rsid w:val="00A84B09"/>
    <w:rsid w:val="00AE45D0"/>
    <w:rsid w:val="00B2797B"/>
    <w:rsid w:val="00B7471E"/>
    <w:rsid w:val="00B84ECE"/>
    <w:rsid w:val="00BA5556"/>
    <w:rsid w:val="00C42B33"/>
    <w:rsid w:val="00C67143"/>
    <w:rsid w:val="00CA7F08"/>
    <w:rsid w:val="00CB2978"/>
    <w:rsid w:val="00CE00B9"/>
    <w:rsid w:val="00D051FE"/>
    <w:rsid w:val="00D1087B"/>
    <w:rsid w:val="00D236B6"/>
    <w:rsid w:val="00D420CE"/>
    <w:rsid w:val="00D519D9"/>
    <w:rsid w:val="00D926BA"/>
    <w:rsid w:val="00DC2807"/>
    <w:rsid w:val="00DC4CB9"/>
    <w:rsid w:val="00DE5167"/>
    <w:rsid w:val="00E217A9"/>
    <w:rsid w:val="00E269CF"/>
    <w:rsid w:val="00E93F27"/>
    <w:rsid w:val="00EA4998"/>
    <w:rsid w:val="00EE78DE"/>
    <w:rsid w:val="00EF7E3F"/>
    <w:rsid w:val="00F0501B"/>
    <w:rsid w:val="00F077D0"/>
    <w:rsid w:val="00F07FAD"/>
    <w:rsid w:val="00F170DC"/>
    <w:rsid w:val="00F51148"/>
    <w:rsid w:val="00FB210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5CD4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end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48182E"/>
    <w:pPr>
      <w:spacing w:after="0" w:line="240" w:lineRule="auto"/>
    </w:pPr>
    <w:rPr>
      <w:sz w:val="20"/>
      <w:szCs w:val="20"/>
    </w:rPr>
  </w:style>
  <w:style w:type="character" w:customStyle="1" w:styleId="FootnoteTextChar">
    <w:name w:val="Footnote Text Char"/>
    <w:basedOn w:val="DefaultParagraphFont"/>
    <w:link w:val="FootnoteText"/>
    <w:rsid w:val="0048182E"/>
    <w:rPr>
      <w:sz w:val="20"/>
      <w:szCs w:val="20"/>
    </w:rPr>
  </w:style>
  <w:style w:type="character" w:styleId="FootnoteReference">
    <w:name w:val="footnote reference"/>
    <w:basedOn w:val="DefaultParagraphFont"/>
    <w:uiPriority w:val="99"/>
    <w:unhideWhenUsed/>
    <w:rsid w:val="0048182E"/>
    <w:rPr>
      <w:vertAlign w:val="superscript"/>
    </w:rPr>
  </w:style>
  <w:style w:type="character" w:styleId="Hyperlink">
    <w:name w:val="Hyperlink"/>
    <w:basedOn w:val="DefaultParagraphFont"/>
    <w:uiPriority w:val="99"/>
    <w:unhideWhenUsed/>
    <w:rsid w:val="005C06D1"/>
    <w:rPr>
      <w:color w:val="0000FF" w:themeColor="hyperlink"/>
      <w:u w:val="single"/>
    </w:rPr>
  </w:style>
  <w:style w:type="character" w:styleId="Emphasis">
    <w:name w:val="Emphasis"/>
    <w:basedOn w:val="DefaultParagraphFont"/>
    <w:uiPriority w:val="20"/>
    <w:qFormat/>
    <w:rsid w:val="00CE00B9"/>
    <w:rPr>
      <w:b/>
      <w:bCs/>
      <w:i w:val="0"/>
      <w:iCs w:val="0"/>
    </w:rPr>
  </w:style>
  <w:style w:type="paragraph" w:styleId="NormalWeb">
    <w:name w:val="Normal (Web)"/>
    <w:basedOn w:val="Normal"/>
    <w:uiPriority w:val="99"/>
    <w:unhideWhenUsed/>
    <w:rsid w:val="00424854"/>
    <w:pPr>
      <w:spacing w:before="100" w:beforeAutospacing="1" w:after="100" w:afterAutospacing="1" w:line="240" w:lineRule="auto"/>
    </w:pPr>
    <w:rPr>
      <w:rFonts w:ascii="Times New Roman" w:eastAsia="Times New Roman" w:hAnsi="Times New Roman" w:cs="Times New Roman"/>
      <w:color w:val="008000"/>
      <w:sz w:val="24"/>
      <w:szCs w:val="24"/>
    </w:rPr>
  </w:style>
  <w:style w:type="character" w:styleId="EndnoteReference">
    <w:name w:val="endnote reference"/>
    <w:semiHidden/>
    <w:rsid w:val="00097ADB"/>
    <w:rPr>
      <w:vertAlign w:val="superscript"/>
    </w:rPr>
  </w:style>
  <w:style w:type="paragraph" w:customStyle="1" w:styleId="N">
    <w:name w:val="N"/>
    <w:rsid w:val="00097ADB"/>
    <w:pPr>
      <w:spacing w:after="0" w:line="480" w:lineRule="auto"/>
      <w:ind w:left="720" w:hanging="720"/>
    </w:pPr>
    <w:rPr>
      <w:rFonts w:ascii="Times New Roman" w:eastAsia="Times New Roman" w:hAnsi="Times New Roman" w:cs="Times New Roman"/>
      <w:sz w:val="24"/>
      <w:szCs w:val="24"/>
    </w:rPr>
  </w:style>
  <w:style w:type="paragraph" w:customStyle="1" w:styleId="EXT">
    <w:name w:val="EXT"/>
    <w:rsid w:val="00F51148"/>
    <w:pPr>
      <w:spacing w:after="0" w:line="480" w:lineRule="auto"/>
      <w:ind w:left="720" w:right="720"/>
    </w:pPr>
    <w:rPr>
      <w:rFonts w:ascii="Times New Roman" w:eastAsia="Times New Roman" w:hAnsi="Times New Roman" w:cs="Times New Roman"/>
      <w:color w:val="003366"/>
      <w:sz w:val="24"/>
      <w:szCs w:val="24"/>
    </w:rPr>
  </w:style>
  <w:style w:type="paragraph" w:customStyle="1" w:styleId="P">
    <w:name w:val="P"/>
    <w:rsid w:val="00F51148"/>
    <w:pPr>
      <w:spacing w:after="0" w:line="480" w:lineRule="auto"/>
    </w:pPr>
    <w:rPr>
      <w:rFonts w:ascii="Times New Roman" w:eastAsia="Times New Roman" w:hAnsi="Times New Roman" w:cs="Times New Roman"/>
      <w:sz w:val="24"/>
      <w:szCs w:val="24"/>
    </w:rPr>
  </w:style>
  <w:style w:type="paragraph" w:customStyle="1" w:styleId="P1">
    <w:name w:val="P1"/>
    <w:link w:val="P1Char"/>
    <w:rsid w:val="00F51148"/>
    <w:pPr>
      <w:spacing w:after="0" w:line="480" w:lineRule="auto"/>
      <w:ind w:firstLine="720"/>
    </w:pPr>
    <w:rPr>
      <w:rFonts w:ascii="Times New Roman" w:eastAsia="Times New Roman" w:hAnsi="Times New Roman" w:cs="Times New Roman"/>
      <w:sz w:val="24"/>
      <w:szCs w:val="24"/>
    </w:rPr>
  </w:style>
  <w:style w:type="character" w:customStyle="1" w:styleId="P1Char">
    <w:name w:val="P1 Char"/>
    <w:link w:val="P1"/>
    <w:rsid w:val="00F51148"/>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D1087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1087B"/>
  </w:style>
  <w:style w:type="paragraph" w:styleId="Footer">
    <w:name w:val="footer"/>
    <w:basedOn w:val="Normal"/>
    <w:link w:val="FooterChar"/>
    <w:uiPriority w:val="99"/>
    <w:unhideWhenUsed/>
    <w:rsid w:val="00D108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087B"/>
  </w:style>
  <w:style w:type="character" w:customStyle="1" w:styleId="offcite">
    <w:name w:val="offcite"/>
    <w:basedOn w:val="DefaultParagraphFont"/>
    <w:rsid w:val="000A006E"/>
  </w:style>
  <w:style w:type="paragraph" w:customStyle="1" w:styleId="bodytext1">
    <w:name w:val="bodytext1"/>
    <w:basedOn w:val="Normal"/>
    <w:rsid w:val="00186411"/>
    <w:pPr>
      <w:spacing w:before="100" w:beforeAutospacing="1" w:after="100" w:afterAutospacing="1" w:line="240" w:lineRule="auto"/>
      <w:ind w:left="1224" w:right="1224"/>
    </w:pPr>
    <w:rPr>
      <w:rFonts w:ascii="Trebuchet MS" w:eastAsia="Times New Roman" w:hAnsi="Trebuchet MS" w:cs="Times New Roman"/>
      <w:sz w:val="21"/>
      <w:szCs w:val="21"/>
    </w:rPr>
  </w:style>
  <w:style w:type="character" w:customStyle="1" w:styleId="st1">
    <w:name w:val="st1"/>
    <w:basedOn w:val="DefaultParagraphFont"/>
    <w:rsid w:val="00D926B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end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48182E"/>
    <w:pPr>
      <w:spacing w:after="0" w:line="240" w:lineRule="auto"/>
    </w:pPr>
    <w:rPr>
      <w:sz w:val="20"/>
      <w:szCs w:val="20"/>
    </w:rPr>
  </w:style>
  <w:style w:type="character" w:customStyle="1" w:styleId="FootnoteTextChar">
    <w:name w:val="Footnote Text Char"/>
    <w:basedOn w:val="DefaultParagraphFont"/>
    <w:link w:val="FootnoteText"/>
    <w:rsid w:val="0048182E"/>
    <w:rPr>
      <w:sz w:val="20"/>
      <w:szCs w:val="20"/>
    </w:rPr>
  </w:style>
  <w:style w:type="character" w:styleId="FootnoteReference">
    <w:name w:val="footnote reference"/>
    <w:basedOn w:val="DefaultParagraphFont"/>
    <w:uiPriority w:val="99"/>
    <w:unhideWhenUsed/>
    <w:rsid w:val="0048182E"/>
    <w:rPr>
      <w:vertAlign w:val="superscript"/>
    </w:rPr>
  </w:style>
  <w:style w:type="character" w:styleId="Hyperlink">
    <w:name w:val="Hyperlink"/>
    <w:basedOn w:val="DefaultParagraphFont"/>
    <w:uiPriority w:val="99"/>
    <w:unhideWhenUsed/>
    <w:rsid w:val="005C06D1"/>
    <w:rPr>
      <w:color w:val="0000FF" w:themeColor="hyperlink"/>
      <w:u w:val="single"/>
    </w:rPr>
  </w:style>
  <w:style w:type="character" w:styleId="Emphasis">
    <w:name w:val="Emphasis"/>
    <w:basedOn w:val="DefaultParagraphFont"/>
    <w:uiPriority w:val="20"/>
    <w:qFormat/>
    <w:rsid w:val="00CE00B9"/>
    <w:rPr>
      <w:b/>
      <w:bCs/>
      <w:i w:val="0"/>
      <w:iCs w:val="0"/>
    </w:rPr>
  </w:style>
  <w:style w:type="paragraph" w:styleId="NormalWeb">
    <w:name w:val="Normal (Web)"/>
    <w:basedOn w:val="Normal"/>
    <w:uiPriority w:val="99"/>
    <w:unhideWhenUsed/>
    <w:rsid w:val="00424854"/>
    <w:pPr>
      <w:spacing w:before="100" w:beforeAutospacing="1" w:after="100" w:afterAutospacing="1" w:line="240" w:lineRule="auto"/>
    </w:pPr>
    <w:rPr>
      <w:rFonts w:ascii="Times New Roman" w:eastAsia="Times New Roman" w:hAnsi="Times New Roman" w:cs="Times New Roman"/>
      <w:color w:val="008000"/>
      <w:sz w:val="24"/>
      <w:szCs w:val="24"/>
    </w:rPr>
  </w:style>
  <w:style w:type="character" w:styleId="EndnoteReference">
    <w:name w:val="endnote reference"/>
    <w:semiHidden/>
    <w:rsid w:val="00097ADB"/>
    <w:rPr>
      <w:vertAlign w:val="superscript"/>
    </w:rPr>
  </w:style>
  <w:style w:type="paragraph" w:customStyle="1" w:styleId="N">
    <w:name w:val="N"/>
    <w:rsid w:val="00097ADB"/>
    <w:pPr>
      <w:spacing w:after="0" w:line="480" w:lineRule="auto"/>
      <w:ind w:left="720" w:hanging="720"/>
    </w:pPr>
    <w:rPr>
      <w:rFonts w:ascii="Times New Roman" w:eastAsia="Times New Roman" w:hAnsi="Times New Roman" w:cs="Times New Roman"/>
      <w:sz w:val="24"/>
      <w:szCs w:val="24"/>
    </w:rPr>
  </w:style>
  <w:style w:type="paragraph" w:customStyle="1" w:styleId="EXT">
    <w:name w:val="EXT"/>
    <w:rsid w:val="00F51148"/>
    <w:pPr>
      <w:spacing w:after="0" w:line="480" w:lineRule="auto"/>
      <w:ind w:left="720" w:right="720"/>
    </w:pPr>
    <w:rPr>
      <w:rFonts w:ascii="Times New Roman" w:eastAsia="Times New Roman" w:hAnsi="Times New Roman" w:cs="Times New Roman"/>
      <w:color w:val="003366"/>
      <w:sz w:val="24"/>
      <w:szCs w:val="24"/>
    </w:rPr>
  </w:style>
  <w:style w:type="paragraph" w:customStyle="1" w:styleId="P">
    <w:name w:val="P"/>
    <w:rsid w:val="00F51148"/>
    <w:pPr>
      <w:spacing w:after="0" w:line="480" w:lineRule="auto"/>
    </w:pPr>
    <w:rPr>
      <w:rFonts w:ascii="Times New Roman" w:eastAsia="Times New Roman" w:hAnsi="Times New Roman" w:cs="Times New Roman"/>
      <w:sz w:val="24"/>
      <w:szCs w:val="24"/>
    </w:rPr>
  </w:style>
  <w:style w:type="paragraph" w:customStyle="1" w:styleId="P1">
    <w:name w:val="P1"/>
    <w:link w:val="P1Char"/>
    <w:rsid w:val="00F51148"/>
    <w:pPr>
      <w:spacing w:after="0" w:line="480" w:lineRule="auto"/>
      <w:ind w:firstLine="720"/>
    </w:pPr>
    <w:rPr>
      <w:rFonts w:ascii="Times New Roman" w:eastAsia="Times New Roman" w:hAnsi="Times New Roman" w:cs="Times New Roman"/>
      <w:sz w:val="24"/>
      <w:szCs w:val="24"/>
    </w:rPr>
  </w:style>
  <w:style w:type="character" w:customStyle="1" w:styleId="P1Char">
    <w:name w:val="P1 Char"/>
    <w:link w:val="P1"/>
    <w:rsid w:val="00F51148"/>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D1087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1087B"/>
  </w:style>
  <w:style w:type="paragraph" w:styleId="Footer">
    <w:name w:val="footer"/>
    <w:basedOn w:val="Normal"/>
    <w:link w:val="FooterChar"/>
    <w:uiPriority w:val="99"/>
    <w:unhideWhenUsed/>
    <w:rsid w:val="00D108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087B"/>
  </w:style>
  <w:style w:type="character" w:customStyle="1" w:styleId="offcite">
    <w:name w:val="offcite"/>
    <w:basedOn w:val="DefaultParagraphFont"/>
    <w:rsid w:val="000A006E"/>
  </w:style>
  <w:style w:type="paragraph" w:customStyle="1" w:styleId="bodytext1">
    <w:name w:val="bodytext1"/>
    <w:basedOn w:val="Normal"/>
    <w:rsid w:val="00186411"/>
    <w:pPr>
      <w:spacing w:before="100" w:beforeAutospacing="1" w:after="100" w:afterAutospacing="1" w:line="240" w:lineRule="auto"/>
      <w:ind w:left="1224" w:right="1224"/>
    </w:pPr>
    <w:rPr>
      <w:rFonts w:ascii="Trebuchet MS" w:eastAsia="Times New Roman" w:hAnsi="Trebuchet MS" w:cs="Times New Roman"/>
      <w:sz w:val="21"/>
      <w:szCs w:val="21"/>
    </w:rPr>
  </w:style>
  <w:style w:type="character" w:customStyle="1" w:styleId="st1">
    <w:name w:val="st1"/>
    <w:basedOn w:val="DefaultParagraphFont"/>
    <w:rsid w:val="00D926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03059">
      <w:bodyDiv w:val="1"/>
      <w:marLeft w:val="0"/>
      <w:marRight w:val="0"/>
      <w:marTop w:val="0"/>
      <w:marBottom w:val="0"/>
      <w:divBdr>
        <w:top w:val="none" w:sz="0" w:space="0" w:color="auto"/>
        <w:left w:val="none" w:sz="0" w:space="0" w:color="auto"/>
        <w:bottom w:val="none" w:sz="0" w:space="0" w:color="auto"/>
        <w:right w:val="none" w:sz="0" w:space="0" w:color="auto"/>
      </w:divBdr>
      <w:divsChild>
        <w:div w:id="1968780622">
          <w:marLeft w:val="0"/>
          <w:marRight w:val="0"/>
          <w:marTop w:val="0"/>
          <w:marBottom w:val="0"/>
          <w:divBdr>
            <w:top w:val="none" w:sz="0" w:space="0" w:color="auto"/>
            <w:left w:val="none" w:sz="0" w:space="0" w:color="auto"/>
            <w:bottom w:val="none" w:sz="0" w:space="0" w:color="auto"/>
            <w:right w:val="none" w:sz="0" w:space="0" w:color="auto"/>
          </w:divBdr>
          <w:divsChild>
            <w:div w:id="1429501853">
              <w:marLeft w:val="0"/>
              <w:marRight w:val="0"/>
              <w:marTop w:val="0"/>
              <w:marBottom w:val="0"/>
              <w:divBdr>
                <w:top w:val="none" w:sz="0" w:space="0" w:color="auto"/>
                <w:left w:val="none" w:sz="0" w:space="0" w:color="auto"/>
                <w:bottom w:val="none" w:sz="0" w:space="0" w:color="auto"/>
                <w:right w:val="none" w:sz="0" w:space="0" w:color="auto"/>
              </w:divBdr>
              <w:divsChild>
                <w:div w:id="255215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35785">
      <w:bodyDiv w:val="1"/>
      <w:marLeft w:val="0"/>
      <w:marRight w:val="0"/>
      <w:marTop w:val="0"/>
      <w:marBottom w:val="0"/>
      <w:divBdr>
        <w:top w:val="none" w:sz="0" w:space="0" w:color="auto"/>
        <w:left w:val="none" w:sz="0" w:space="0" w:color="auto"/>
        <w:bottom w:val="none" w:sz="0" w:space="0" w:color="auto"/>
        <w:right w:val="none" w:sz="0" w:space="0" w:color="auto"/>
      </w:divBdr>
      <w:divsChild>
        <w:div w:id="1871648199">
          <w:marLeft w:val="0"/>
          <w:marRight w:val="0"/>
          <w:marTop w:val="0"/>
          <w:marBottom w:val="0"/>
          <w:divBdr>
            <w:top w:val="none" w:sz="0" w:space="0" w:color="auto"/>
            <w:left w:val="none" w:sz="0" w:space="0" w:color="auto"/>
            <w:bottom w:val="none" w:sz="0" w:space="0" w:color="auto"/>
            <w:right w:val="none" w:sz="0" w:space="0" w:color="auto"/>
          </w:divBdr>
          <w:divsChild>
            <w:div w:id="1943488717">
              <w:marLeft w:val="0"/>
              <w:marRight w:val="0"/>
              <w:marTop w:val="0"/>
              <w:marBottom w:val="0"/>
              <w:divBdr>
                <w:top w:val="none" w:sz="0" w:space="0" w:color="auto"/>
                <w:left w:val="none" w:sz="0" w:space="0" w:color="auto"/>
                <w:bottom w:val="none" w:sz="0" w:space="0" w:color="auto"/>
                <w:right w:val="none" w:sz="0" w:space="0" w:color="auto"/>
              </w:divBdr>
              <w:divsChild>
                <w:div w:id="1548682070">
                  <w:marLeft w:val="0"/>
                  <w:marRight w:val="0"/>
                  <w:marTop w:val="0"/>
                  <w:marBottom w:val="0"/>
                  <w:divBdr>
                    <w:top w:val="none" w:sz="0" w:space="0" w:color="auto"/>
                    <w:left w:val="none" w:sz="0" w:space="0" w:color="auto"/>
                    <w:bottom w:val="none" w:sz="0" w:space="0" w:color="auto"/>
                    <w:right w:val="none" w:sz="0" w:space="0" w:color="auto"/>
                  </w:divBdr>
                  <w:divsChild>
                    <w:div w:id="748968231">
                      <w:marLeft w:val="0"/>
                      <w:marRight w:val="0"/>
                      <w:marTop w:val="0"/>
                      <w:marBottom w:val="0"/>
                      <w:divBdr>
                        <w:top w:val="none" w:sz="0" w:space="0" w:color="auto"/>
                        <w:left w:val="none" w:sz="0" w:space="0" w:color="auto"/>
                        <w:bottom w:val="none" w:sz="0" w:space="0" w:color="auto"/>
                        <w:right w:val="none" w:sz="0" w:space="0" w:color="auto"/>
                      </w:divBdr>
                      <w:divsChild>
                        <w:div w:id="113266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6791202">
      <w:bodyDiv w:val="1"/>
      <w:marLeft w:val="0"/>
      <w:marRight w:val="0"/>
      <w:marTop w:val="0"/>
      <w:marBottom w:val="0"/>
      <w:divBdr>
        <w:top w:val="none" w:sz="0" w:space="0" w:color="auto"/>
        <w:left w:val="none" w:sz="0" w:space="0" w:color="auto"/>
        <w:bottom w:val="none" w:sz="0" w:space="0" w:color="auto"/>
        <w:right w:val="none" w:sz="0" w:space="0" w:color="auto"/>
      </w:divBdr>
      <w:divsChild>
        <w:div w:id="1873416885">
          <w:marLeft w:val="0"/>
          <w:marRight w:val="0"/>
          <w:marTop w:val="0"/>
          <w:marBottom w:val="0"/>
          <w:divBdr>
            <w:top w:val="none" w:sz="0" w:space="0" w:color="auto"/>
            <w:left w:val="none" w:sz="0" w:space="0" w:color="auto"/>
            <w:bottom w:val="none" w:sz="0" w:space="0" w:color="auto"/>
            <w:right w:val="none" w:sz="0" w:space="0" w:color="auto"/>
          </w:divBdr>
          <w:divsChild>
            <w:div w:id="126894064">
              <w:marLeft w:val="0"/>
              <w:marRight w:val="0"/>
              <w:marTop w:val="0"/>
              <w:marBottom w:val="0"/>
              <w:divBdr>
                <w:top w:val="none" w:sz="0" w:space="0" w:color="auto"/>
                <w:left w:val="none" w:sz="0" w:space="0" w:color="auto"/>
                <w:bottom w:val="none" w:sz="0" w:space="0" w:color="auto"/>
                <w:right w:val="none" w:sz="0" w:space="0" w:color="auto"/>
              </w:divBdr>
              <w:divsChild>
                <w:div w:id="423499658">
                  <w:marLeft w:val="0"/>
                  <w:marRight w:val="0"/>
                  <w:marTop w:val="0"/>
                  <w:marBottom w:val="0"/>
                  <w:divBdr>
                    <w:top w:val="none" w:sz="0" w:space="0" w:color="auto"/>
                    <w:left w:val="none" w:sz="0" w:space="0" w:color="auto"/>
                    <w:bottom w:val="none" w:sz="0" w:space="0" w:color="auto"/>
                    <w:right w:val="none" w:sz="0" w:space="0" w:color="auto"/>
                  </w:divBdr>
                  <w:divsChild>
                    <w:div w:id="1264418452">
                      <w:marLeft w:val="0"/>
                      <w:marRight w:val="0"/>
                      <w:marTop w:val="0"/>
                      <w:marBottom w:val="0"/>
                      <w:divBdr>
                        <w:top w:val="none" w:sz="0" w:space="0" w:color="auto"/>
                        <w:left w:val="none" w:sz="0" w:space="0" w:color="auto"/>
                        <w:bottom w:val="none" w:sz="0" w:space="0" w:color="auto"/>
                        <w:right w:val="none" w:sz="0" w:space="0" w:color="auto"/>
                      </w:divBdr>
                      <w:divsChild>
                        <w:div w:id="171720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5382508">
      <w:bodyDiv w:val="1"/>
      <w:marLeft w:val="0"/>
      <w:marRight w:val="0"/>
      <w:marTop w:val="0"/>
      <w:marBottom w:val="0"/>
      <w:divBdr>
        <w:top w:val="none" w:sz="0" w:space="0" w:color="auto"/>
        <w:left w:val="none" w:sz="0" w:space="0" w:color="auto"/>
        <w:bottom w:val="none" w:sz="0" w:space="0" w:color="auto"/>
        <w:right w:val="none" w:sz="0" w:space="0" w:color="auto"/>
      </w:divBdr>
      <w:divsChild>
        <w:div w:id="582757517">
          <w:marLeft w:val="0"/>
          <w:marRight w:val="0"/>
          <w:marTop w:val="0"/>
          <w:marBottom w:val="0"/>
          <w:divBdr>
            <w:top w:val="single" w:sz="4" w:space="0" w:color="999999"/>
            <w:left w:val="single" w:sz="4" w:space="0" w:color="999999"/>
            <w:bottom w:val="single" w:sz="4" w:space="0" w:color="999999"/>
            <w:right w:val="single" w:sz="4" w:space="0" w:color="999999"/>
          </w:divBdr>
          <w:divsChild>
            <w:div w:id="207306637">
              <w:marLeft w:val="0"/>
              <w:marRight w:val="0"/>
              <w:marTop w:val="159"/>
              <w:marBottom w:val="0"/>
              <w:divBdr>
                <w:top w:val="single" w:sz="4" w:space="0" w:color="FFFFFF"/>
                <w:left w:val="none" w:sz="0" w:space="0" w:color="auto"/>
                <w:bottom w:val="none" w:sz="0" w:space="0" w:color="auto"/>
                <w:right w:val="none" w:sz="0" w:space="0" w:color="auto"/>
              </w:divBdr>
              <w:divsChild>
                <w:div w:id="681737282">
                  <w:marLeft w:val="0"/>
                  <w:marRight w:val="0"/>
                  <w:marTop w:val="0"/>
                  <w:marBottom w:val="0"/>
                  <w:divBdr>
                    <w:top w:val="none" w:sz="0" w:space="0" w:color="auto"/>
                    <w:left w:val="none" w:sz="0" w:space="0" w:color="auto"/>
                    <w:bottom w:val="none" w:sz="0" w:space="0" w:color="auto"/>
                    <w:right w:val="none" w:sz="0" w:space="0" w:color="auto"/>
                  </w:divBdr>
                  <w:divsChild>
                    <w:div w:id="842356019">
                      <w:marLeft w:val="0"/>
                      <w:marRight w:val="11"/>
                      <w:marTop w:val="0"/>
                      <w:marBottom w:val="0"/>
                      <w:divBdr>
                        <w:top w:val="none" w:sz="0" w:space="0" w:color="auto"/>
                        <w:left w:val="none" w:sz="0" w:space="0" w:color="auto"/>
                        <w:bottom w:val="none" w:sz="0" w:space="0" w:color="auto"/>
                        <w:right w:val="none" w:sz="0" w:space="0" w:color="auto"/>
                      </w:divBdr>
                      <w:divsChild>
                        <w:div w:id="1450127668">
                          <w:marLeft w:val="0"/>
                          <w:marRight w:val="0"/>
                          <w:marTop w:val="0"/>
                          <w:marBottom w:val="0"/>
                          <w:divBdr>
                            <w:top w:val="none" w:sz="0" w:space="0" w:color="auto"/>
                            <w:left w:val="none" w:sz="0" w:space="0" w:color="auto"/>
                            <w:bottom w:val="none" w:sz="0" w:space="0" w:color="auto"/>
                            <w:right w:val="none" w:sz="0" w:space="0" w:color="auto"/>
                          </w:divBdr>
                          <w:divsChild>
                            <w:div w:id="1434476506">
                              <w:marLeft w:val="106"/>
                              <w:marRight w:val="74"/>
                              <w:marTop w:val="0"/>
                              <w:marBottom w:val="127"/>
                              <w:divBdr>
                                <w:top w:val="none" w:sz="0" w:space="0" w:color="auto"/>
                                <w:left w:val="none" w:sz="0" w:space="0" w:color="auto"/>
                                <w:bottom w:val="none" w:sz="0" w:space="0" w:color="auto"/>
                                <w:right w:val="none" w:sz="0" w:space="0" w:color="auto"/>
                              </w:divBdr>
                              <w:divsChild>
                                <w:div w:id="1608778230">
                                  <w:marLeft w:val="0"/>
                                  <w:marRight w:val="0"/>
                                  <w:marTop w:val="360"/>
                                  <w:marBottom w:val="408"/>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5495111">
      <w:bodyDiv w:val="1"/>
      <w:marLeft w:val="0"/>
      <w:marRight w:val="0"/>
      <w:marTop w:val="0"/>
      <w:marBottom w:val="0"/>
      <w:divBdr>
        <w:top w:val="none" w:sz="0" w:space="0" w:color="auto"/>
        <w:left w:val="none" w:sz="0" w:space="0" w:color="auto"/>
        <w:bottom w:val="none" w:sz="0" w:space="0" w:color="auto"/>
        <w:right w:val="none" w:sz="0" w:space="0" w:color="auto"/>
      </w:divBdr>
      <w:divsChild>
        <w:div w:id="1589532289">
          <w:marLeft w:val="0"/>
          <w:marRight w:val="0"/>
          <w:marTop w:val="0"/>
          <w:marBottom w:val="0"/>
          <w:divBdr>
            <w:top w:val="none" w:sz="0" w:space="0" w:color="auto"/>
            <w:left w:val="none" w:sz="0" w:space="0" w:color="auto"/>
            <w:bottom w:val="none" w:sz="0" w:space="0" w:color="auto"/>
            <w:right w:val="none" w:sz="0" w:space="0" w:color="auto"/>
          </w:divBdr>
          <w:divsChild>
            <w:div w:id="1720088523">
              <w:marLeft w:val="0"/>
              <w:marRight w:val="0"/>
              <w:marTop w:val="0"/>
              <w:marBottom w:val="0"/>
              <w:divBdr>
                <w:top w:val="none" w:sz="0" w:space="0" w:color="auto"/>
                <w:left w:val="none" w:sz="0" w:space="0" w:color="auto"/>
                <w:bottom w:val="none" w:sz="0" w:space="0" w:color="auto"/>
                <w:right w:val="none" w:sz="0" w:space="0" w:color="auto"/>
              </w:divBdr>
              <w:divsChild>
                <w:div w:id="393428348">
                  <w:marLeft w:val="0"/>
                  <w:marRight w:val="0"/>
                  <w:marTop w:val="75"/>
                  <w:marBottom w:val="75"/>
                  <w:divBdr>
                    <w:top w:val="none" w:sz="0" w:space="0" w:color="auto"/>
                    <w:left w:val="none" w:sz="0" w:space="0" w:color="auto"/>
                    <w:bottom w:val="none" w:sz="0" w:space="0" w:color="auto"/>
                    <w:right w:val="none" w:sz="0" w:space="0" w:color="auto"/>
                  </w:divBdr>
                  <w:divsChild>
                    <w:div w:id="1265112219">
                      <w:marLeft w:val="0"/>
                      <w:marRight w:val="0"/>
                      <w:marTop w:val="0"/>
                      <w:marBottom w:val="0"/>
                      <w:divBdr>
                        <w:top w:val="none" w:sz="0" w:space="0" w:color="auto"/>
                        <w:left w:val="none" w:sz="0" w:space="0" w:color="auto"/>
                        <w:bottom w:val="none" w:sz="0" w:space="0" w:color="auto"/>
                        <w:right w:val="none" w:sz="0" w:space="0" w:color="auto"/>
                      </w:divBdr>
                      <w:divsChild>
                        <w:div w:id="2010592552">
                          <w:marLeft w:val="0"/>
                          <w:marRight w:val="300"/>
                          <w:marTop w:val="0"/>
                          <w:marBottom w:val="0"/>
                          <w:divBdr>
                            <w:top w:val="none" w:sz="0" w:space="0" w:color="auto"/>
                            <w:left w:val="none" w:sz="0" w:space="0" w:color="auto"/>
                            <w:bottom w:val="none" w:sz="0" w:space="0" w:color="auto"/>
                            <w:right w:val="none" w:sz="0" w:space="0" w:color="auto"/>
                          </w:divBdr>
                          <w:divsChild>
                            <w:div w:id="1206991275">
                              <w:marLeft w:val="0"/>
                              <w:marRight w:val="0"/>
                              <w:marTop w:val="0"/>
                              <w:marBottom w:val="0"/>
                              <w:divBdr>
                                <w:top w:val="none" w:sz="0" w:space="0" w:color="auto"/>
                                <w:left w:val="none" w:sz="0" w:space="0" w:color="auto"/>
                                <w:bottom w:val="none" w:sz="0" w:space="0" w:color="auto"/>
                                <w:right w:val="none" w:sz="0" w:space="0" w:color="auto"/>
                              </w:divBdr>
                              <w:divsChild>
                                <w:div w:id="28870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2653778">
      <w:bodyDiv w:val="1"/>
      <w:marLeft w:val="0"/>
      <w:marRight w:val="0"/>
      <w:marTop w:val="0"/>
      <w:marBottom w:val="0"/>
      <w:divBdr>
        <w:top w:val="none" w:sz="0" w:space="0" w:color="auto"/>
        <w:left w:val="none" w:sz="0" w:space="0" w:color="auto"/>
        <w:bottom w:val="none" w:sz="0" w:space="0" w:color="auto"/>
        <w:right w:val="none" w:sz="0" w:space="0" w:color="auto"/>
      </w:divBdr>
      <w:divsChild>
        <w:div w:id="63993973">
          <w:marLeft w:val="0"/>
          <w:marRight w:val="0"/>
          <w:marTop w:val="0"/>
          <w:marBottom w:val="0"/>
          <w:divBdr>
            <w:top w:val="none" w:sz="0" w:space="0" w:color="auto"/>
            <w:left w:val="none" w:sz="0" w:space="0" w:color="auto"/>
            <w:bottom w:val="none" w:sz="0" w:space="0" w:color="auto"/>
            <w:right w:val="none" w:sz="0" w:space="0" w:color="auto"/>
          </w:divBdr>
          <w:divsChild>
            <w:div w:id="1412238323">
              <w:marLeft w:val="0"/>
              <w:marRight w:val="0"/>
              <w:marTop w:val="0"/>
              <w:marBottom w:val="0"/>
              <w:divBdr>
                <w:top w:val="none" w:sz="0" w:space="0" w:color="auto"/>
                <w:left w:val="none" w:sz="0" w:space="0" w:color="auto"/>
                <w:bottom w:val="none" w:sz="0" w:space="0" w:color="auto"/>
                <w:right w:val="none" w:sz="0" w:space="0" w:color="auto"/>
              </w:divBdr>
              <w:divsChild>
                <w:div w:id="164523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075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scotusblog.com/case-files/cases/arizona-v-united-states/" TargetMode="External"/><Relationship Id="rId13" Type="http://schemas.openxmlformats.org/officeDocument/2006/relationships/hyperlink" Target="http://www.pakistani.org/pakistan/constitution/preamble.html" TargetMode="External"/><Relationship Id="rId3" Type="http://schemas.openxmlformats.org/officeDocument/2006/relationships/hyperlink" Target="http://classics.mit.edu/Plato/euthyfro.html" TargetMode="External"/><Relationship Id="rId7" Type="http://schemas.openxmlformats.org/officeDocument/2006/relationships/hyperlink" Target="http://www.csmonitor.com/tags/topic/United+States" TargetMode="External"/><Relationship Id="rId12" Type="http://schemas.openxmlformats.org/officeDocument/2006/relationships/hyperlink" Target="http://www.hri.org/MFA/syntagma/" TargetMode="External"/><Relationship Id="rId2" Type="http://schemas.openxmlformats.org/officeDocument/2006/relationships/hyperlink" Target="http://www.law.cornell.edu/supct-cgi/get-us-cite?501+452" TargetMode="External"/><Relationship Id="rId1" Type="http://schemas.openxmlformats.org/officeDocument/2006/relationships/hyperlink" Target="http://www.come-and-hear.com/babamezia/babamezia_59.html" TargetMode="External"/><Relationship Id="rId6" Type="http://schemas.openxmlformats.org/officeDocument/2006/relationships/hyperlink" Target="http://cup.columbia.edu/book/978-0-231-15340-9/political-theology" TargetMode="External"/><Relationship Id="rId11" Type="http://schemas.openxmlformats.org/officeDocument/2006/relationships/hyperlink" Target="http://bible.cc/romans/13-2.htm" TargetMode="External"/><Relationship Id="rId5" Type="http://schemas.openxmlformats.org/officeDocument/2006/relationships/hyperlink" Target="http://www.ou.org/torah/ti/5764/rh64.htm" TargetMode="External"/><Relationship Id="rId10" Type="http://schemas.openxmlformats.org/officeDocument/2006/relationships/hyperlink" Target="http://bible.cc/romans/13-1.htm" TargetMode="External"/><Relationship Id="rId4" Type="http://schemas.openxmlformats.org/officeDocument/2006/relationships/hyperlink" Target="http://www.iep.utm.edu/natlaw/" TargetMode="External"/><Relationship Id="rId9" Type="http://schemas.openxmlformats.org/officeDocument/2006/relationships/hyperlink" Target="http://www.nytimes.com/2011/09/28/nyregion/rights-clash-as-town-clerk-rejects-her-role-in-gay-marriages.html?scp=1&amp;sq=New%20York%20town%20clerk%20and%20marriage%20licenses%20to%20gay%20couples%20&amp;st=cse" TargetMode="External"/><Relationship Id="rId14" Type="http://schemas.openxmlformats.org/officeDocument/2006/relationships/hyperlink" Target="http://lifespathway.com/Peac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844BB9-D666-4C1E-A197-24F21CF24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22</Pages>
  <Words>5568</Words>
  <Characters>31744</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Harvard Law School</Company>
  <LinksUpToDate>false</LinksUpToDate>
  <CharactersWithSpaces>37238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slevinson</dc:creator>
  <cp:lastModifiedBy>Sanford Levinson</cp:lastModifiedBy>
  <cp:revision>3</cp:revision>
  <cp:lastPrinted>2011-10-07T19:48:00Z</cp:lastPrinted>
  <dcterms:created xsi:type="dcterms:W3CDTF">2012-03-06T00:42:00Z</dcterms:created>
  <dcterms:modified xsi:type="dcterms:W3CDTF">2012-03-09T00:32:00Z</dcterms:modified>
</cp:coreProperties>
</file>